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BFC2" w14:textId="6B74E63D" w:rsidR="00C53F0C" w:rsidRPr="002A3A5C" w:rsidRDefault="00B8068C" w:rsidP="00C53F0C">
      <w:pPr>
        <w:pStyle w:val="Heading1"/>
        <w:rPr>
          <w:rStyle w:val="Strong"/>
          <w:b/>
          <w:bCs w:val="0"/>
          <w:sz w:val="96"/>
          <w:szCs w:val="96"/>
        </w:rPr>
      </w:pPr>
      <w:bookmarkStart w:id="0" w:name="_Toc211422612"/>
      <w:r w:rsidRPr="002A3A5C">
        <w:rPr>
          <w:rStyle w:val="Strong"/>
          <w:b/>
          <w:bCs w:val="0"/>
          <w:sz w:val="96"/>
          <w:szCs w:val="96"/>
        </w:rPr>
        <w:t>Annual Report Summary</w:t>
      </w:r>
      <w:r w:rsidR="00A13CB7" w:rsidRPr="002A3A5C">
        <w:rPr>
          <w:rStyle w:val="Strong"/>
          <w:b/>
          <w:bCs w:val="0"/>
          <w:sz w:val="96"/>
          <w:szCs w:val="96"/>
        </w:rPr>
        <w:t xml:space="preserve"> | </w:t>
      </w:r>
      <w:proofErr w:type="spellStart"/>
      <w:r w:rsidR="00C53F0C" w:rsidRPr="002A3A5C">
        <w:rPr>
          <w:rStyle w:val="Strong"/>
          <w:b/>
          <w:bCs w:val="0"/>
          <w:sz w:val="96"/>
          <w:szCs w:val="96"/>
        </w:rPr>
        <w:t>Whakarāpopototaka</w:t>
      </w:r>
      <w:proofErr w:type="spellEnd"/>
      <w:r w:rsidR="00C53F0C" w:rsidRPr="002A3A5C">
        <w:rPr>
          <w:rStyle w:val="Strong"/>
          <w:b/>
          <w:bCs w:val="0"/>
          <w:sz w:val="96"/>
          <w:szCs w:val="96"/>
        </w:rPr>
        <w:t xml:space="preserve"> o </w:t>
      </w:r>
      <w:proofErr w:type="spellStart"/>
      <w:r w:rsidR="00C53F0C" w:rsidRPr="002A3A5C">
        <w:rPr>
          <w:rStyle w:val="Strong"/>
          <w:b/>
          <w:bCs w:val="0"/>
          <w:sz w:val="96"/>
          <w:szCs w:val="96"/>
        </w:rPr>
        <w:t>te</w:t>
      </w:r>
      <w:proofErr w:type="spellEnd"/>
      <w:r w:rsidR="00C53F0C" w:rsidRPr="002A3A5C">
        <w:rPr>
          <w:rStyle w:val="Strong"/>
          <w:b/>
          <w:bCs w:val="0"/>
          <w:sz w:val="96"/>
          <w:szCs w:val="96"/>
        </w:rPr>
        <w:t xml:space="preserve"> </w:t>
      </w:r>
      <w:proofErr w:type="spellStart"/>
      <w:r w:rsidR="00C53F0C" w:rsidRPr="002A3A5C">
        <w:rPr>
          <w:rStyle w:val="Strong"/>
          <w:b/>
          <w:bCs w:val="0"/>
          <w:sz w:val="96"/>
          <w:szCs w:val="96"/>
        </w:rPr>
        <w:t>Rīpoata</w:t>
      </w:r>
      <w:proofErr w:type="spellEnd"/>
      <w:r w:rsidR="00C53F0C" w:rsidRPr="002A3A5C">
        <w:rPr>
          <w:rStyle w:val="Strong"/>
          <w:b/>
          <w:bCs w:val="0"/>
          <w:sz w:val="96"/>
          <w:szCs w:val="96"/>
        </w:rPr>
        <w:t xml:space="preserve"> ā-tau</w:t>
      </w:r>
      <w:bookmarkEnd w:id="0"/>
    </w:p>
    <w:p w14:paraId="13E59F5D" w14:textId="478FCADA" w:rsidR="005D62B6" w:rsidRPr="002A3A5C" w:rsidRDefault="005D62B6" w:rsidP="00A13CB7">
      <w:pPr>
        <w:pStyle w:val="Heading2"/>
        <w:rPr>
          <w:sz w:val="48"/>
          <w:szCs w:val="48"/>
          <w:lang w:val="en-US"/>
        </w:rPr>
      </w:pPr>
      <w:bookmarkStart w:id="1" w:name="_Toc211422613"/>
      <w:r w:rsidRPr="002A3A5C">
        <w:rPr>
          <w:sz w:val="48"/>
          <w:szCs w:val="48"/>
          <w:lang w:val="en-US"/>
        </w:rPr>
        <w:t>202</w:t>
      </w:r>
      <w:r w:rsidR="00EC208E" w:rsidRPr="002A3A5C">
        <w:rPr>
          <w:sz w:val="48"/>
          <w:szCs w:val="48"/>
          <w:lang w:val="en-US"/>
        </w:rPr>
        <w:t>4</w:t>
      </w:r>
      <w:r w:rsidRPr="002A3A5C">
        <w:rPr>
          <w:sz w:val="48"/>
          <w:szCs w:val="48"/>
          <w:lang w:val="en-US"/>
        </w:rPr>
        <w:t xml:space="preserve"> – 202</w:t>
      </w:r>
      <w:r w:rsidR="00EC208E" w:rsidRPr="002A3A5C">
        <w:rPr>
          <w:sz w:val="48"/>
          <w:szCs w:val="48"/>
          <w:lang w:val="en-US"/>
        </w:rPr>
        <w:t>5</w:t>
      </w:r>
      <w:bookmarkEnd w:id="1"/>
    </w:p>
    <w:p w14:paraId="6C45DC9A" w14:textId="4F2CFB5A" w:rsidR="00A00DC3" w:rsidRPr="00E641B6" w:rsidRDefault="00A00DC3">
      <w:pPr>
        <w:rPr>
          <w:sz w:val="24"/>
          <w:lang w:val="en-US"/>
        </w:rPr>
      </w:pPr>
      <w:r w:rsidRPr="00E641B6">
        <w:rPr>
          <w:sz w:val="24"/>
          <w:lang w:val="en-US"/>
        </w:rPr>
        <w:br w:type="page"/>
      </w:r>
    </w:p>
    <w:sdt>
      <w:sdtPr>
        <w:id w:val="1072546868"/>
        <w:docPartObj>
          <w:docPartGallery w:val="Table of Contents"/>
          <w:docPartUnique/>
        </w:docPartObj>
      </w:sdtPr>
      <w:sdtEndPr>
        <w:rPr>
          <w:rFonts w:asciiTheme="minorHAnsi" w:eastAsiaTheme="minorHAnsi" w:hAnsiTheme="minorHAnsi" w:cstheme="minorBidi"/>
          <w:bCs/>
          <w:noProof/>
          <w:color w:val="auto"/>
          <w:kern w:val="2"/>
          <w:sz w:val="22"/>
          <w:szCs w:val="22"/>
          <w:lang w:val="en-NZ"/>
          <w14:ligatures w14:val="standardContextual"/>
        </w:rPr>
      </w:sdtEndPr>
      <w:sdtContent>
        <w:p w14:paraId="779C33C4" w14:textId="220B20D3" w:rsidR="00F24B9A" w:rsidRDefault="00F24B9A">
          <w:pPr>
            <w:pStyle w:val="TOCHeading"/>
          </w:pPr>
          <w:r>
            <w:t>Table of Contents</w:t>
          </w:r>
        </w:p>
        <w:p w14:paraId="073CD1C4" w14:textId="665AA4C2" w:rsidR="00F24B9A" w:rsidRDefault="00F24B9A">
          <w:pPr>
            <w:pStyle w:val="TOC1"/>
            <w:tabs>
              <w:tab w:val="right" w:leader="dot" w:pos="9016"/>
            </w:tabs>
            <w:rPr>
              <w:rFonts w:eastAsiaTheme="minorEastAsia"/>
              <w:noProof/>
              <w:sz w:val="24"/>
              <w:szCs w:val="24"/>
              <w:lang w:eastAsia="en-NZ"/>
            </w:rPr>
          </w:pPr>
          <w:r>
            <w:fldChar w:fldCharType="begin"/>
          </w:r>
          <w:r>
            <w:instrText xml:space="preserve"> TOC \o "1-3" \h \z \u </w:instrText>
          </w:r>
          <w:r>
            <w:fldChar w:fldCharType="separate"/>
          </w:r>
          <w:hyperlink w:anchor="_Toc211422615" w:history="1">
            <w:r w:rsidRPr="00540333">
              <w:rPr>
                <w:rStyle w:val="Hyperlink"/>
                <w:noProof/>
                <w:lang w:val="en-US"/>
              </w:rPr>
              <w:t>Introduction | Whakatakika</w:t>
            </w:r>
            <w:r>
              <w:rPr>
                <w:noProof/>
                <w:webHidden/>
              </w:rPr>
              <w:tab/>
            </w:r>
            <w:r>
              <w:rPr>
                <w:noProof/>
                <w:webHidden/>
              </w:rPr>
              <w:fldChar w:fldCharType="begin"/>
            </w:r>
            <w:r>
              <w:rPr>
                <w:noProof/>
                <w:webHidden/>
              </w:rPr>
              <w:instrText xml:space="preserve"> PAGEREF _Toc211422615 \h </w:instrText>
            </w:r>
            <w:r>
              <w:rPr>
                <w:noProof/>
                <w:webHidden/>
              </w:rPr>
            </w:r>
            <w:r>
              <w:rPr>
                <w:noProof/>
                <w:webHidden/>
              </w:rPr>
              <w:fldChar w:fldCharType="separate"/>
            </w:r>
            <w:r>
              <w:rPr>
                <w:noProof/>
                <w:webHidden/>
              </w:rPr>
              <w:t>3</w:t>
            </w:r>
            <w:r>
              <w:rPr>
                <w:noProof/>
                <w:webHidden/>
              </w:rPr>
              <w:fldChar w:fldCharType="end"/>
            </w:r>
          </w:hyperlink>
        </w:p>
        <w:p w14:paraId="434805F9" w14:textId="6C73E31D" w:rsidR="00F24B9A" w:rsidRDefault="00F24B9A">
          <w:pPr>
            <w:pStyle w:val="TOC2"/>
            <w:tabs>
              <w:tab w:val="right" w:leader="dot" w:pos="9016"/>
            </w:tabs>
            <w:rPr>
              <w:rFonts w:eastAsiaTheme="minorEastAsia"/>
              <w:noProof/>
              <w:sz w:val="24"/>
              <w:szCs w:val="24"/>
              <w:lang w:eastAsia="en-NZ"/>
            </w:rPr>
          </w:pPr>
          <w:hyperlink w:anchor="_Toc211422616" w:history="1">
            <w:r w:rsidRPr="00540333">
              <w:rPr>
                <w:rStyle w:val="Hyperlink"/>
                <w:noProof/>
                <w:lang w:val="en-US"/>
              </w:rPr>
              <w:t>Our region</w:t>
            </w:r>
            <w:r>
              <w:rPr>
                <w:noProof/>
                <w:webHidden/>
              </w:rPr>
              <w:tab/>
            </w:r>
            <w:r>
              <w:rPr>
                <w:noProof/>
                <w:webHidden/>
              </w:rPr>
              <w:fldChar w:fldCharType="begin"/>
            </w:r>
            <w:r>
              <w:rPr>
                <w:noProof/>
                <w:webHidden/>
              </w:rPr>
              <w:instrText xml:space="preserve"> PAGEREF _Toc211422616 \h </w:instrText>
            </w:r>
            <w:r>
              <w:rPr>
                <w:noProof/>
                <w:webHidden/>
              </w:rPr>
            </w:r>
            <w:r>
              <w:rPr>
                <w:noProof/>
                <w:webHidden/>
              </w:rPr>
              <w:fldChar w:fldCharType="separate"/>
            </w:r>
            <w:r>
              <w:rPr>
                <w:noProof/>
                <w:webHidden/>
              </w:rPr>
              <w:t>3</w:t>
            </w:r>
            <w:r>
              <w:rPr>
                <w:noProof/>
                <w:webHidden/>
              </w:rPr>
              <w:fldChar w:fldCharType="end"/>
            </w:r>
          </w:hyperlink>
        </w:p>
        <w:p w14:paraId="3D19FD05" w14:textId="15A47CCA" w:rsidR="00F24B9A" w:rsidRDefault="00F24B9A">
          <w:pPr>
            <w:pStyle w:val="TOC2"/>
            <w:tabs>
              <w:tab w:val="right" w:leader="dot" w:pos="9016"/>
            </w:tabs>
            <w:rPr>
              <w:rFonts w:eastAsiaTheme="minorEastAsia"/>
              <w:noProof/>
              <w:sz w:val="24"/>
              <w:szCs w:val="24"/>
              <w:lang w:eastAsia="en-NZ"/>
            </w:rPr>
          </w:pPr>
          <w:hyperlink w:anchor="_Toc211422617" w:history="1">
            <w:r w:rsidRPr="00540333">
              <w:rPr>
                <w:rStyle w:val="Hyperlink"/>
                <w:noProof/>
                <w:lang w:val="en-GB"/>
              </w:rPr>
              <w:t>Our economy</w:t>
            </w:r>
            <w:r>
              <w:rPr>
                <w:noProof/>
                <w:webHidden/>
              </w:rPr>
              <w:tab/>
            </w:r>
            <w:r>
              <w:rPr>
                <w:noProof/>
                <w:webHidden/>
              </w:rPr>
              <w:fldChar w:fldCharType="begin"/>
            </w:r>
            <w:r>
              <w:rPr>
                <w:noProof/>
                <w:webHidden/>
              </w:rPr>
              <w:instrText xml:space="preserve"> PAGEREF _Toc211422617 \h </w:instrText>
            </w:r>
            <w:r>
              <w:rPr>
                <w:noProof/>
                <w:webHidden/>
              </w:rPr>
            </w:r>
            <w:r>
              <w:rPr>
                <w:noProof/>
                <w:webHidden/>
              </w:rPr>
              <w:fldChar w:fldCharType="separate"/>
            </w:r>
            <w:r>
              <w:rPr>
                <w:noProof/>
                <w:webHidden/>
              </w:rPr>
              <w:t>3</w:t>
            </w:r>
            <w:r>
              <w:rPr>
                <w:noProof/>
                <w:webHidden/>
              </w:rPr>
              <w:fldChar w:fldCharType="end"/>
            </w:r>
          </w:hyperlink>
        </w:p>
        <w:p w14:paraId="290C814F" w14:textId="4AE3EDC2" w:rsidR="00F24B9A" w:rsidRDefault="00F24B9A">
          <w:pPr>
            <w:pStyle w:val="TOC2"/>
            <w:tabs>
              <w:tab w:val="right" w:leader="dot" w:pos="9016"/>
            </w:tabs>
            <w:rPr>
              <w:rFonts w:eastAsiaTheme="minorEastAsia"/>
              <w:noProof/>
              <w:sz w:val="24"/>
              <w:szCs w:val="24"/>
              <w:lang w:eastAsia="en-NZ"/>
            </w:rPr>
          </w:pPr>
          <w:hyperlink w:anchor="_Toc211422618" w:history="1">
            <w:r w:rsidRPr="00540333">
              <w:rPr>
                <w:rStyle w:val="Hyperlink"/>
                <w:noProof/>
                <w:lang w:val="en-GB"/>
              </w:rPr>
              <w:t>Our people</w:t>
            </w:r>
            <w:r>
              <w:rPr>
                <w:noProof/>
                <w:webHidden/>
              </w:rPr>
              <w:tab/>
            </w:r>
            <w:r>
              <w:rPr>
                <w:noProof/>
                <w:webHidden/>
              </w:rPr>
              <w:fldChar w:fldCharType="begin"/>
            </w:r>
            <w:r>
              <w:rPr>
                <w:noProof/>
                <w:webHidden/>
              </w:rPr>
              <w:instrText xml:space="preserve"> PAGEREF _Toc211422618 \h </w:instrText>
            </w:r>
            <w:r>
              <w:rPr>
                <w:noProof/>
                <w:webHidden/>
              </w:rPr>
            </w:r>
            <w:r>
              <w:rPr>
                <w:noProof/>
                <w:webHidden/>
              </w:rPr>
              <w:fldChar w:fldCharType="separate"/>
            </w:r>
            <w:r>
              <w:rPr>
                <w:noProof/>
                <w:webHidden/>
              </w:rPr>
              <w:t>3</w:t>
            </w:r>
            <w:r>
              <w:rPr>
                <w:noProof/>
                <w:webHidden/>
              </w:rPr>
              <w:fldChar w:fldCharType="end"/>
            </w:r>
          </w:hyperlink>
        </w:p>
        <w:p w14:paraId="5FC97B08" w14:textId="1AAE0A8E" w:rsidR="00F24B9A" w:rsidRDefault="00F24B9A">
          <w:pPr>
            <w:pStyle w:val="TOC2"/>
            <w:tabs>
              <w:tab w:val="right" w:leader="dot" w:pos="9016"/>
            </w:tabs>
            <w:rPr>
              <w:rFonts w:eastAsiaTheme="minorEastAsia"/>
              <w:noProof/>
              <w:sz w:val="24"/>
              <w:szCs w:val="24"/>
              <w:lang w:eastAsia="en-NZ"/>
            </w:rPr>
          </w:pPr>
          <w:hyperlink w:anchor="_Toc211422619" w:history="1">
            <w:r w:rsidRPr="00540333">
              <w:rPr>
                <w:rStyle w:val="Hyperlink"/>
                <w:noProof/>
                <w:lang w:val="en-GB"/>
              </w:rPr>
              <w:t>What our people think about living here</w:t>
            </w:r>
            <w:r>
              <w:rPr>
                <w:noProof/>
                <w:webHidden/>
              </w:rPr>
              <w:tab/>
            </w:r>
            <w:r>
              <w:rPr>
                <w:noProof/>
                <w:webHidden/>
              </w:rPr>
              <w:fldChar w:fldCharType="begin"/>
            </w:r>
            <w:r>
              <w:rPr>
                <w:noProof/>
                <w:webHidden/>
              </w:rPr>
              <w:instrText xml:space="preserve"> PAGEREF _Toc211422619 \h </w:instrText>
            </w:r>
            <w:r>
              <w:rPr>
                <w:noProof/>
                <w:webHidden/>
              </w:rPr>
            </w:r>
            <w:r>
              <w:rPr>
                <w:noProof/>
                <w:webHidden/>
              </w:rPr>
              <w:fldChar w:fldCharType="separate"/>
            </w:r>
            <w:r>
              <w:rPr>
                <w:noProof/>
                <w:webHidden/>
              </w:rPr>
              <w:t>4</w:t>
            </w:r>
            <w:r>
              <w:rPr>
                <w:noProof/>
                <w:webHidden/>
              </w:rPr>
              <w:fldChar w:fldCharType="end"/>
            </w:r>
          </w:hyperlink>
        </w:p>
        <w:p w14:paraId="4F81B8BF" w14:textId="684F595F" w:rsidR="00F24B9A" w:rsidRDefault="00F24B9A">
          <w:pPr>
            <w:pStyle w:val="TOC1"/>
            <w:tabs>
              <w:tab w:val="right" w:leader="dot" w:pos="9016"/>
            </w:tabs>
            <w:rPr>
              <w:rFonts w:eastAsiaTheme="minorEastAsia"/>
              <w:noProof/>
              <w:sz w:val="24"/>
              <w:szCs w:val="24"/>
              <w:lang w:eastAsia="en-NZ"/>
            </w:rPr>
          </w:pPr>
          <w:hyperlink w:anchor="_Toc211422620" w:history="1">
            <w:r w:rsidRPr="00540333">
              <w:rPr>
                <w:rStyle w:val="Hyperlink"/>
                <w:noProof/>
                <w:lang w:val="en-US"/>
              </w:rPr>
              <w:t>A message from the Chief Executive | He karere nā te Kaiwhakahaere Matua</w:t>
            </w:r>
            <w:r>
              <w:rPr>
                <w:noProof/>
                <w:webHidden/>
              </w:rPr>
              <w:tab/>
            </w:r>
            <w:r>
              <w:rPr>
                <w:noProof/>
                <w:webHidden/>
              </w:rPr>
              <w:fldChar w:fldCharType="begin"/>
            </w:r>
            <w:r>
              <w:rPr>
                <w:noProof/>
                <w:webHidden/>
              </w:rPr>
              <w:instrText xml:space="preserve"> PAGEREF _Toc211422620 \h </w:instrText>
            </w:r>
            <w:r>
              <w:rPr>
                <w:noProof/>
                <w:webHidden/>
              </w:rPr>
            </w:r>
            <w:r>
              <w:rPr>
                <w:noProof/>
                <w:webHidden/>
              </w:rPr>
              <w:fldChar w:fldCharType="separate"/>
            </w:r>
            <w:r>
              <w:rPr>
                <w:noProof/>
                <w:webHidden/>
              </w:rPr>
              <w:t>5</w:t>
            </w:r>
            <w:r>
              <w:rPr>
                <w:noProof/>
                <w:webHidden/>
              </w:rPr>
              <w:fldChar w:fldCharType="end"/>
            </w:r>
          </w:hyperlink>
        </w:p>
        <w:p w14:paraId="7A720658" w14:textId="556CB9D3" w:rsidR="00F24B9A" w:rsidRDefault="00F24B9A">
          <w:pPr>
            <w:pStyle w:val="TOC1"/>
            <w:tabs>
              <w:tab w:val="right" w:leader="dot" w:pos="9016"/>
            </w:tabs>
            <w:rPr>
              <w:rFonts w:eastAsiaTheme="minorEastAsia"/>
              <w:noProof/>
              <w:sz w:val="24"/>
              <w:szCs w:val="24"/>
              <w:lang w:eastAsia="en-NZ"/>
            </w:rPr>
          </w:pPr>
          <w:hyperlink w:anchor="_Toc211422634" w:history="1">
            <w:r w:rsidRPr="00540333">
              <w:rPr>
                <w:rStyle w:val="Hyperlink"/>
                <w:noProof/>
                <w:lang w:val="en-GB"/>
              </w:rPr>
              <w:t>The year in review | He tirohaka ki te tau kua pahure ake</w:t>
            </w:r>
            <w:r>
              <w:rPr>
                <w:noProof/>
                <w:webHidden/>
              </w:rPr>
              <w:tab/>
            </w:r>
            <w:r>
              <w:rPr>
                <w:noProof/>
                <w:webHidden/>
              </w:rPr>
              <w:fldChar w:fldCharType="begin"/>
            </w:r>
            <w:r>
              <w:rPr>
                <w:noProof/>
                <w:webHidden/>
              </w:rPr>
              <w:instrText xml:space="preserve"> PAGEREF _Toc211422634 \h </w:instrText>
            </w:r>
            <w:r>
              <w:rPr>
                <w:noProof/>
                <w:webHidden/>
              </w:rPr>
            </w:r>
            <w:r>
              <w:rPr>
                <w:noProof/>
                <w:webHidden/>
              </w:rPr>
              <w:fldChar w:fldCharType="separate"/>
            </w:r>
            <w:r>
              <w:rPr>
                <w:noProof/>
                <w:webHidden/>
              </w:rPr>
              <w:t>20</w:t>
            </w:r>
            <w:r>
              <w:rPr>
                <w:noProof/>
                <w:webHidden/>
              </w:rPr>
              <w:fldChar w:fldCharType="end"/>
            </w:r>
          </w:hyperlink>
        </w:p>
        <w:p w14:paraId="036A4620" w14:textId="727F6724" w:rsidR="00F24B9A" w:rsidRDefault="00F24B9A">
          <w:pPr>
            <w:pStyle w:val="TOC2"/>
            <w:tabs>
              <w:tab w:val="right" w:leader="dot" w:pos="9016"/>
            </w:tabs>
            <w:rPr>
              <w:rFonts w:eastAsiaTheme="minorEastAsia"/>
              <w:noProof/>
              <w:sz w:val="24"/>
              <w:szCs w:val="24"/>
              <w:lang w:eastAsia="en-NZ"/>
            </w:rPr>
          </w:pPr>
          <w:hyperlink w:anchor="_Toc211422635" w:history="1">
            <w:r w:rsidRPr="00540333">
              <w:rPr>
                <w:rStyle w:val="Hyperlink"/>
                <w:noProof/>
                <w:lang w:val="en-GB"/>
              </w:rPr>
              <w:t>Our key achievements</w:t>
            </w:r>
            <w:r>
              <w:rPr>
                <w:noProof/>
                <w:webHidden/>
              </w:rPr>
              <w:tab/>
            </w:r>
            <w:r>
              <w:rPr>
                <w:noProof/>
                <w:webHidden/>
              </w:rPr>
              <w:fldChar w:fldCharType="begin"/>
            </w:r>
            <w:r>
              <w:rPr>
                <w:noProof/>
                <w:webHidden/>
              </w:rPr>
              <w:instrText xml:space="preserve"> PAGEREF _Toc211422635 \h </w:instrText>
            </w:r>
            <w:r>
              <w:rPr>
                <w:noProof/>
                <w:webHidden/>
              </w:rPr>
            </w:r>
            <w:r>
              <w:rPr>
                <w:noProof/>
                <w:webHidden/>
              </w:rPr>
              <w:fldChar w:fldCharType="separate"/>
            </w:r>
            <w:r>
              <w:rPr>
                <w:noProof/>
                <w:webHidden/>
              </w:rPr>
              <w:t>20</w:t>
            </w:r>
            <w:r>
              <w:rPr>
                <w:noProof/>
                <w:webHidden/>
              </w:rPr>
              <w:fldChar w:fldCharType="end"/>
            </w:r>
          </w:hyperlink>
        </w:p>
        <w:p w14:paraId="1F10D952" w14:textId="7772E785" w:rsidR="00F24B9A" w:rsidRDefault="00F24B9A">
          <w:pPr>
            <w:pStyle w:val="TOC2"/>
            <w:tabs>
              <w:tab w:val="right" w:leader="dot" w:pos="9016"/>
            </w:tabs>
            <w:rPr>
              <w:rFonts w:eastAsiaTheme="minorEastAsia"/>
              <w:noProof/>
              <w:sz w:val="24"/>
              <w:szCs w:val="24"/>
              <w:lang w:eastAsia="en-NZ"/>
            </w:rPr>
          </w:pPr>
          <w:hyperlink w:anchor="_Toc211422636" w:history="1">
            <w:r w:rsidRPr="00540333">
              <w:rPr>
                <w:rStyle w:val="Hyperlink"/>
                <w:noProof/>
                <w:lang w:val="en-GB"/>
              </w:rPr>
              <w:t>A snapshot of our non-financial performance</w:t>
            </w:r>
            <w:r>
              <w:rPr>
                <w:noProof/>
                <w:webHidden/>
              </w:rPr>
              <w:tab/>
            </w:r>
            <w:r>
              <w:rPr>
                <w:noProof/>
                <w:webHidden/>
              </w:rPr>
              <w:fldChar w:fldCharType="begin"/>
            </w:r>
            <w:r>
              <w:rPr>
                <w:noProof/>
                <w:webHidden/>
              </w:rPr>
              <w:instrText xml:space="preserve"> PAGEREF _Toc211422636 \h </w:instrText>
            </w:r>
            <w:r>
              <w:rPr>
                <w:noProof/>
                <w:webHidden/>
              </w:rPr>
            </w:r>
            <w:r>
              <w:rPr>
                <w:noProof/>
                <w:webHidden/>
              </w:rPr>
              <w:fldChar w:fldCharType="separate"/>
            </w:r>
            <w:r>
              <w:rPr>
                <w:noProof/>
                <w:webHidden/>
              </w:rPr>
              <w:t>20</w:t>
            </w:r>
            <w:r>
              <w:rPr>
                <w:noProof/>
                <w:webHidden/>
              </w:rPr>
              <w:fldChar w:fldCharType="end"/>
            </w:r>
          </w:hyperlink>
        </w:p>
        <w:p w14:paraId="646DF242" w14:textId="5183A5BF" w:rsidR="00F24B9A" w:rsidRDefault="00F24B9A">
          <w:pPr>
            <w:pStyle w:val="TOC2"/>
            <w:tabs>
              <w:tab w:val="right" w:leader="dot" w:pos="9016"/>
            </w:tabs>
            <w:rPr>
              <w:rFonts w:eastAsiaTheme="minorEastAsia"/>
              <w:noProof/>
              <w:sz w:val="24"/>
              <w:szCs w:val="24"/>
              <w:lang w:eastAsia="en-NZ"/>
            </w:rPr>
          </w:pPr>
          <w:hyperlink w:anchor="_Toc211422637" w:history="1">
            <w:r w:rsidRPr="00540333">
              <w:rPr>
                <w:rStyle w:val="Hyperlink"/>
                <w:noProof/>
                <w:lang w:val="en-GB"/>
              </w:rPr>
              <w:t>Where the money comes from</w:t>
            </w:r>
            <w:r>
              <w:rPr>
                <w:noProof/>
                <w:webHidden/>
              </w:rPr>
              <w:tab/>
            </w:r>
            <w:r>
              <w:rPr>
                <w:noProof/>
                <w:webHidden/>
              </w:rPr>
              <w:fldChar w:fldCharType="begin"/>
            </w:r>
            <w:r>
              <w:rPr>
                <w:noProof/>
                <w:webHidden/>
              </w:rPr>
              <w:instrText xml:space="preserve"> PAGEREF _Toc211422637 \h </w:instrText>
            </w:r>
            <w:r>
              <w:rPr>
                <w:noProof/>
                <w:webHidden/>
              </w:rPr>
            </w:r>
            <w:r>
              <w:rPr>
                <w:noProof/>
                <w:webHidden/>
              </w:rPr>
              <w:fldChar w:fldCharType="separate"/>
            </w:r>
            <w:r>
              <w:rPr>
                <w:noProof/>
                <w:webHidden/>
              </w:rPr>
              <w:t>20</w:t>
            </w:r>
            <w:r>
              <w:rPr>
                <w:noProof/>
                <w:webHidden/>
              </w:rPr>
              <w:fldChar w:fldCharType="end"/>
            </w:r>
          </w:hyperlink>
        </w:p>
        <w:p w14:paraId="68F3B527" w14:textId="708E7F1B" w:rsidR="00F24B9A" w:rsidRDefault="00F24B9A">
          <w:pPr>
            <w:pStyle w:val="TOC2"/>
            <w:tabs>
              <w:tab w:val="right" w:leader="dot" w:pos="9016"/>
            </w:tabs>
            <w:rPr>
              <w:rFonts w:eastAsiaTheme="minorEastAsia"/>
              <w:noProof/>
              <w:sz w:val="24"/>
              <w:szCs w:val="24"/>
              <w:lang w:eastAsia="en-NZ"/>
            </w:rPr>
          </w:pPr>
          <w:hyperlink w:anchor="_Toc211422638" w:history="1">
            <w:r w:rsidRPr="00540333">
              <w:rPr>
                <w:rStyle w:val="Hyperlink"/>
                <w:noProof/>
              </w:rPr>
              <w:t>How the money is spent</w:t>
            </w:r>
            <w:r>
              <w:rPr>
                <w:noProof/>
                <w:webHidden/>
              </w:rPr>
              <w:tab/>
            </w:r>
            <w:r>
              <w:rPr>
                <w:noProof/>
                <w:webHidden/>
              </w:rPr>
              <w:fldChar w:fldCharType="begin"/>
            </w:r>
            <w:r>
              <w:rPr>
                <w:noProof/>
                <w:webHidden/>
              </w:rPr>
              <w:instrText xml:space="preserve"> PAGEREF _Toc211422638 \h </w:instrText>
            </w:r>
            <w:r>
              <w:rPr>
                <w:noProof/>
                <w:webHidden/>
              </w:rPr>
            </w:r>
            <w:r>
              <w:rPr>
                <w:noProof/>
                <w:webHidden/>
              </w:rPr>
              <w:fldChar w:fldCharType="separate"/>
            </w:r>
            <w:r>
              <w:rPr>
                <w:noProof/>
                <w:webHidden/>
              </w:rPr>
              <w:t>21</w:t>
            </w:r>
            <w:r>
              <w:rPr>
                <w:noProof/>
                <w:webHidden/>
              </w:rPr>
              <w:fldChar w:fldCharType="end"/>
            </w:r>
          </w:hyperlink>
        </w:p>
        <w:p w14:paraId="68797793" w14:textId="4B1BC9BD" w:rsidR="00F24B9A" w:rsidRDefault="00F24B9A">
          <w:pPr>
            <w:pStyle w:val="TOC1"/>
            <w:tabs>
              <w:tab w:val="right" w:leader="dot" w:pos="9016"/>
            </w:tabs>
            <w:rPr>
              <w:rFonts w:eastAsiaTheme="minorEastAsia"/>
              <w:noProof/>
              <w:sz w:val="24"/>
              <w:szCs w:val="24"/>
              <w:lang w:eastAsia="en-NZ"/>
            </w:rPr>
          </w:pPr>
          <w:hyperlink w:anchor="_Toc211422639" w:history="1">
            <w:r w:rsidRPr="00540333">
              <w:rPr>
                <w:rStyle w:val="Hyperlink"/>
                <w:noProof/>
                <w:lang w:val="en-US"/>
              </w:rPr>
              <w:t>Contact us</w:t>
            </w:r>
            <w:r>
              <w:rPr>
                <w:noProof/>
                <w:webHidden/>
              </w:rPr>
              <w:tab/>
            </w:r>
            <w:r>
              <w:rPr>
                <w:noProof/>
                <w:webHidden/>
              </w:rPr>
              <w:fldChar w:fldCharType="begin"/>
            </w:r>
            <w:r>
              <w:rPr>
                <w:noProof/>
                <w:webHidden/>
              </w:rPr>
              <w:instrText xml:space="preserve"> PAGEREF _Toc211422639 \h </w:instrText>
            </w:r>
            <w:r>
              <w:rPr>
                <w:noProof/>
                <w:webHidden/>
              </w:rPr>
            </w:r>
            <w:r>
              <w:rPr>
                <w:noProof/>
                <w:webHidden/>
              </w:rPr>
              <w:fldChar w:fldCharType="separate"/>
            </w:r>
            <w:r>
              <w:rPr>
                <w:noProof/>
                <w:webHidden/>
              </w:rPr>
              <w:t>22</w:t>
            </w:r>
            <w:r>
              <w:rPr>
                <w:noProof/>
                <w:webHidden/>
              </w:rPr>
              <w:fldChar w:fldCharType="end"/>
            </w:r>
          </w:hyperlink>
        </w:p>
        <w:p w14:paraId="16ED3D83" w14:textId="085CF27A" w:rsidR="00F24B9A" w:rsidRDefault="00F24B9A">
          <w:pPr>
            <w:pStyle w:val="TOC1"/>
            <w:tabs>
              <w:tab w:val="right" w:leader="dot" w:pos="9016"/>
            </w:tabs>
            <w:rPr>
              <w:rFonts w:eastAsiaTheme="minorEastAsia"/>
              <w:noProof/>
              <w:sz w:val="24"/>
              <w:szCs w:val="24"/>
              <w:lang w:eastAsia="en-NZ"/>
            </w:rPr>
          </w:pPr>
          <w:hyperlink w:anchor="_Toc211422640" w:history="1">
            <w:r w:rsidRPr="00540333">
              <w:rPr>
                <w:rStyle w:val="Hyperlink"/>
                <w:noProof/>
                <w:lang w:val="en-US"/>
              </w:rPr>
              <w:t>Statement of Service Performance | Te tauākī ā kā ratoka kaunihera</w:t>
            </w:r>
            <w:r>
              <w:rPr>
                <w:noProof/>
                <w:webHidden/>
              </w:rPr>
              <w:tab/>
            </w:r>
            <w:r>
              <w:rPr>
                <w:noProof/>
                <w:webHidden/>
              </w:rPr>
              <w:fldChar w:fldCharType="begin"/>
            </w:r>
            <w:r>
              <w:rPr>
                <w:noProof/>
                <w:webHidden/>
              </w:rPr>
              <w:instrText xml:space="preserve"> PAGEREF _Toc211422640 \h </w:instrText>
            </w:r>
            <w:r>
              <w:rPr>
                <w:noProof/>
                <w:webHidden/>
              </w:rPr>
            </w:r>
            <w:r>
              <w:rPr>
                <w:noProof/>
                <w:webHidden/>
              </w:rPr>
              <w:fldChar w:fldCharType="separate"/>
            </w:r>
            <w:r>
              <w:rPr>
                <w:noProof/>
                <w:webHidden/>
              </w:rPr>
              <w:t>23</w:t>
            </w:r>
            <w:r>
              <w:rPr>
                <w:noProof/>
                <w:webHidden/>
              </w:rPr>
              <w:fldChar w:fldCharType="end"/>
            </w:r>
          </w:hyperlink>
        </w:p>
        <w:p w14:paraId="265D8EC7" w14:textId="4E945AC9" w:rsidR="00F24B9A" w:rsidRDefault="00F24B9A">
          <w:pPr>
            <w:pStyle w:val="TOC2"/>
            <w:tabs>
              <w:tab w:val="right" w:leader="dot" w:pos="9016"/>
            </w:tabs>
            <w:rPr>
              <w:rFonts w:eastAsiaTheme="minorEastAsia"/>
              <w:noProof/>
              <w:sz w:val="24"/>
              <w:szCs w:val="24"/>
              <w:lang w:eastAsia="en-NZ"/>
            </w:rPr>
          </w:pPr>
          <w:hyperlink w:anchor="_Toc211422641" w:history="1">
            <w:r w:rsidRPr="00540333">
              <w:rPr>
                <w:rStyle w:val="Hyperlink"/>
                <w:noProof/>
                <w:lang w:val="en-GB"/>
              </w:rPr>
              <w:t>Community services and facilities | Kā Ratoka me kā whare ā-hapori</w:t>
            </w:r>
            <w:r>
              <w:rPr>
                <w:noProof/>
                <w:webHidden/>
              </w:rPr>
              <w:tab/>
            </w:r>
            <w:r>
              <w:rPr>
                <w:noProof/>
                <w:webHidden/>
              </w:rPr>
              <w:fldChar w:fldCharType="begin"/>
            </w:r>
            <w:r>
              <w:rPr>
                <w:noProof/>
                <w:webHidden/>
              </w:rPr>
              <w:instrText xml:space="preserve"> PAGEREF _Toc211422641 \h </w:instrText>
            </w:r>
            <w:r>
              <w:rPr>
                <w:noProof/>
                <w:webHidden/>
              </w:rPr>
            </w:r>
            <w:r>
              <w:rPr>
                <w:noProof/>
                <w:webHidden/>
              </w:rPr>
              <w:fldChar w:fldCharType="separate"/>
            </w:r>
            <w:r>
              <w:rPr>
                <w:noProof/>
                <w:webHidden/>
              </w:rPr>
              <w:t>23</w:t>
            </w:r>
            <w:r>
              <w:rPr>
                <w:noProof/>
                <w:webHidden/>
              </w:rPr>
              <w:fldChar w:fldCharType="end"/>
            </w:r>
          </w:hyperlink>
        </w:p>
        <w:p w14:paraId="6E5452D6" w14:textId="15E75B44" w:rsidR="00F24B9A" w:rsidRDefault="00F24B9A">
          <w:pPr>
            <w:pStyle w:val="TOC2"/>
            <w:tabs>
              <w:tab w:val="right" w:leader="dot" w:pos="9016"/>
            </w:tabs>
            <w:rPr>
              <w:rFonts w:eastAsiaTheme="minorEastAsia"/>
              <w:noProof/>
              <w:sz w:val="24"/>
              <w:szCs w:val="24"/>
              <w:lang w:eastAsia="en-NZ"/>
            </w:rPr>
          </w:pPr>
          <w:hyperlink w:anchor="_Toc211422643" w:history="1">
            <w:r w:rsidRPr="00540333">
              <w:rPr>
                <w:rStyle w:val="Hyperlink"/>
                <w:noProof/>
                <w:lang w:val="en-GB"/>
              </w:rPr>
              <w:t>Environmental management | Whakahaeretaka ā-taiao</w:t>
            </w:r>
            <w:r>
              <w:rPr>
                <w:noProof/>
                <w:webHidden/>
              </w:rPr>
              <w:tab/>
            </w:r>
            <w:r>
              <w:rPr>
                <w:noProof/>
                <w:webHidden/>
              </w:rPr>
              <w:fldChar w:fldCharType="begin"/>
            </w:r>
            <w:r>
              <w:rPr>
                <w:noProof/>
                <w:webHidden/>
              </w:rPr>
              <w:instrText xml:space="preserve"> PAGEREF _Toc211422643 \h </w:instrText>
            </w:r>
            <w:r>
              <w:rPr>
                <w:noProof/>
                <w:webHidden/>
              </w:rPr>
            </w:r>
            <w:r>
              <w:rPr>
                <w:noProof/>
                <w:webHidden/>
              </w:rPr>
              <w:fldChar w:fldCharType="separate"/>
            </w:r>
            <w:r>
              <w:rPr>
                <w:noProof/>
                <w:webHidden/>
              </w:rPr>
              <w:t>26</w:t>
            </w:r>
            <w:r>
              <w:rPr>
                <w:noProof/>
                <w:webHidden/>
              </w:rPr>
              <w:fldChar w:fldCharType="end"/>
            </w:r>
          </w:hyperlink>
        </w:p>
        <w:p w14:paraId="391CACF0" w14:textId="32FCE1C4" w:rsidR="00F24B9A" w:rsidRDefault="00F24B9A">
          <w:pPr>
            <w:pStyle w:val="TOC2"/>
            <w:tabs>
              <w:tab w:val="right" w:leader="dot" w:pos="9016"/>
            </w:tabs>
            <w:rPr>
              <w:rFonts w:eastAsiaTheme="minorEastAsia"/>
              <w:noProof/>
              <w:sz w:val="24"/>
              <w:szCs w:val="24"/>
              <w:lang w:eastAsia="en-NZ"/>
            </w:rPr>
          </w:pPr>
          <w:hyperlink w:anchor="_Toc211422645" w:history="1">
            <w:r w:rsidRPr="00540333">
              <w:rPr>
                <w:rStyle w:val="Hyperlink"/>
                <w:noProof/>
                <w:lang w:val="en-GB"/>
              </w:rPr>
              <w:t>Water supply | Te ranea o te wai</w:t>
            </w:r>
            <w:r>
              <w:rPr>
                <w:noProof/>
                <w:webHidden/>
              </w:rPr>
              <w:tab/>
            </w:r>
            <w:r>
              <w:rPr>
                <w:noProof/>
                <w:webHidden/>
              </w:rPr>
              <w:fldChar w:fldCharType="begin"/>
            </w:r>
            <w:r>
              <w:rPr>
                <w:noProof/>
                <w:webHidden/>
              </w:rPr>
              <w:instrText xml:space="preserve"> PAGEREF _Toc211422645 \h </w:instrText>
            </w:r>
            <w:r>
              <w:rPr>
                <w:noProof/>
                <w:webHidden/>
              </w:rPr>
            </w:r>
            <w:r>
              <w:rPr>
                <w:noProof/>
                <w:webHidden/>
              </w:rPr>
              <w:fldChar w:fldCharType="separate"/>
            </w:r>
            <w:r>
              <w:rPr>
                <w:noProof/>
                <w:webHidden/>
              </w:rPr>
              <w:t>27</w:t>
            </w:r>
            <w:r>
              <w:rPr>
                <w:noProof/>
                <w:webHidden/>
              </w:rPr>
              <w:fldChar w:fldCharType="end"/>
            </w:r>
          </w:hyperlink>
        </w:p>
        <w:p w14:paraId="1190F43E" w14:textId="2392E5DF" w:rsidR="00F24B9A" w:rsidRDefault="00F24B9A">
          <w:pPr>
            <w:pStyle w:val="TOC2"/>
            <w:tabs>
              <w:tab w:val="right" w:leader="dot" w:pos="9016"/>
            </w:tabs>
            <w:rPr>
              <w:rFonts w:eastAsiaTheme="minorEastAsia"/>
              <w:noProof/>
              <w:sz w:val="24"/>
              <w:szCs w:val="24"/>
              <w:lang w:eastAsia="en-NZ"/>
            </w:rPr>
          </w:pPr>
          <w:hyperlink w:anchor="_Toc211422647" w:history="1">
            <w:r w:rsidRPr="00540333">
              <w:rPr>
                <w:rStyle w:val="Hyperlink"/>
                <w:noProof/>
                <w:lang w:val="en-GB"/>
              </w:rPr>
              <w:t>Wastewater | Waipara</w:t>
            </w:r>
            <w:r>
              <w:rPr>
                <w:noProof/>
                <w:webHidden/>
              </w:rPr>
              <w:tab/>
            </w:r>
            <w:r>
              <w:rPr>
                <w:noProof/>
                <w:webHidden/>
              </w:rPr>
              <w:fldChar w:fldCharType="begin"/>
            </w:r>
            <w:r>
              <w:rPr>
                <w:noProof/>
                <w:webHidden/>
              </w:rPr>
              <w:instrText xml:space="preserve"> PAGEREF _Toc211422647 \h </w:instrText>
            </w:r>
            <w:r>
              <w:rPr>
                <w:noProof/>
                <w:webHidden/>
              </w:rPr>
            </w:r>
            <w:r>
              <w:rPr>
                <w:noProof/>
                <w:webHidden/>
              </w:rPr>
              <w:fldChar w:fldCharType="separate"/>
            </w:r>
            <w:r>
              <w:rPr>
                <w:noProof/>
                <w:webHidden/>
              </w:rPr>
              <w:t>31</w:t>
            </w:r>
            <w:r>
              <w:rPr>
                <w:noProof/>
                <w:webHidden/>
              </w:rPr>
              <w:fldChar w:fldCharType="end"/>
            </w:r>
          </w:hyperlink>
        </w:p>
        <w:p w14:paraId="13AB6967" w14:textId="699C43C5" w:rsidR="00F24B9A" w:rsidRDefault="00F24B9A">
          <w:pPr>
            <w:pStyle w:val="TOC2"/>
            <w:tabs>
              <w:tab w:val="right" w:leader="dot" w:pos="9016"/>
            </w:tabs>
            <w:rPr>
              <w:rFonts w:eastAsiaTheme="minorEastAsia"/>
              <w:noProof/>
              <w:sz w:val="24"/>
              <w:szCs w:val="24"/>
              <w:lang w:eastAsia="en-NZ"/>
            </w:rPr>
          </w:pPr>
          <w:hyperlink w:anchor="_Toc211422649" w:history="1">
            <w:r w:rsidRPr="00540333">
              <w:rPr>
                <w:rStyle w:val="Hyperlink"/>
                <w:noProof/>
                <w:lang w:val="en-GB"/>
              </w:rPr>
              <w:t>Stormwater | Wai ua</w:t>
            </w:r>
            <w:r>
              <w:rPr>
                <w:noProof/>
                <w:webHidden/>
              </w:rPr>
              <w:tab/>
            </w:r>
            <w:r>
              <w:rPr>
                <w:noProof/>
                <w:webHidden/>
              </w:rPr>
              <w:fldChar w:fldCharType="begin"/>
            </w:r>
            <w:r>
              <w:rPr>
                <w:noProof/>
                <w:webHidden/>
              </w:rPr>
              <w:instrText xml:space="preserve"> PAGEREF _Toc211422649 \h </w:instrText>
            </w:r>
            <w:r>
              <w:rPr>
                <w:noProof/>
                <w:webHidden/>
              </w:rPr>
            </w:r>
            <w:r>
              <w:rPr>
                <w:noProof/>
                <w:webHidden/>
              </w:rPr>
              <w:fldChar w:fldCharType="separate"/>
            </w:r>
            <w:r>
              <w:rPr>
                <w:noProof/>
                <w:webHidden/>
              </w:rPr>
              <w:t>33</w:t>
            </w:r>
            <w:r>
              <w:rPr>
                <w:noProof/>
                <w:webHidden/>
              </w:rPr>
              <w:fldChar w:fldCharType="end"/>
            </w:r>
          </w:hyperlink>
        </w:p>
        <w:p w14:paraId="798D76D5" w14:textId="2236DE4A" w:rsidR="00F24B9A" w:rsidRDefault="00F24B9A">
          <w:pPr>
            <w:pStyle w:val="TOC2"/>
            <w:tabs>
              <w:tab w:val="right" w:leader="dot" w:pos="9016"/>
            </w:tabs>
            <w:rPr>
              <w:rFonts w:eastAsiaTheme="minorEastAsia"/>
              <w:noProof/>
              <w:sz w:val="24"/>
              <w:szCs w:val="24"/>
              <w:lang w:eastAsia="en-NZ"/>
            </w:rPr>
          </w:pPr>
          <w:hyperlink w:anchor="_Toc211422651" w:history="1">
            <w:r w:rsidRPr="00540333">
              <w:rPr>
                <w:rStyle w:val="Hyperlink"/>
                <w:noProof/>
                <w:lang w:val="en-GB"/>
              </w:rPr>
              <w:t>Transport, including roading, parking and footpaths | Waka</w:t>
            </w:r>
            <w:r>
              <w:rPr>
                <w:noProof/>
                <w:webHidden/>
              </w:rPr>
              <w:tab/>
            </w:r>
            <w:r>
              <w:rPr>
                <w:noProof/>
                <w:webHidden/>
              </w:rPr>
              <w:fldChar w:fldCharType="begin"/>
            </w:r>
            <w:r>
              <w:rPr>
                <w:noProof/>
                <w:webHidden/>
              </w:rPr>
              <w:instrText xml:space="preserve"> PAGEREF _Toc211422651 \h </w:instrText>
            </w:r>
            <w:r>
              <w:rPr>
                <w:noProof/>
                <w:webHidden/>
              </w:rPr>
            </w:r>
            <w:r>
              <w:rPr>
                <w:noProof/>
                <w:webHidden/>
              </w:rPr>
              <w:fldChar w:fldCharType="separate"/>
            </w:r>
            <w:r>
              <w:rPr>
                <w:noProof/>
                <w:webHidden/>
              </w:rPr>
              <w:t>35</w:t>
            </w:r>
            <w:r>
              <w:rPr>
                <w:noProof/>
                <w:webHidden/>
              </w:rPr>
              <w:fldChar w:fldCharType="end"/>
            </w:r>
          </w:hyperlink>
        </w:p>
        <w:p w14:paraId="0DBBAF78" w14:textId="0C4B60F1" w:rsidR="00F24B9A" w:rsidRDefault="00F24B9A">
          <w:pPr>
            <w:pStyle w:val="TOC2"/>
            <w:tabs>
              <w:tab w:val="right" w:leader="dot" w:pos="9016"/>
            </w:tabs>
            <w:rPr>
              <w:rFonts w:eastAsiaTheme="minorEastAsia"/>
              <w:noProof/>
              <w:sz w:val="24"/>
              <w:szCs w:val="24"/>
              <w:lang w:eastAsia="en-NZ"/>
            </w:rPr>
          </w:pPr>
          <w:hyperlink w:anchor="_Toc211422653" w:history="1">
            <w:r w:rsidRPr="00540333">
              <w:rPr>
                <w:rStyle w:val="Hyperlink"/>
                <w:noProof/>
                <w:lang w:val="en-GB"/>
              </w:rPr>
              <w:t>Waste minimisation and management | Whakaiti me te whakahaere para</w:t>
            </w:r>
            <w:r>
              <w:rPr>
                <w:noProof/>
                <w:webHidden/>
              </w:rPr>
              <w:tab/>
            </w:r>
            <w:r>
              <w:rPr>
                <w:noProof/>
                <w:webHidden/>
              </w:rPr>
              <w:fldChar w:fldCharType="begin"/>
            </w:r>
            <w:r>
              <w:rPr>
                <w:noProof/>
                <w:webHidden/>
              </w:rPr>
              <w:instrText xml:space="preserve"> PAGEREF _Toc211422653 \h </w:instrText>
            </w:r>
            <w:r>
              <w:rPr>
                <w:noProof/>
                <w:webHidden/>
              </w:rPr>
            </w:r>
            <w:r>
              <w:rPr>
                <w:noProof/>
                <w:webHidden/>
              </w:rPr>
              <w:fldChar w:fldCharType="separate"/>
            </w:r>
            <w:r>
              <w:rPr>
                <w:noProof/>
                <w:webHidden/>
              </w:rPr>
              <w:t>37</w:t>
            </w:r>
            <w:r>
              <w:rPr>
                <w:noProof/>
                <w:webHidden/>
              </w:rPr>
              <w:fldChar w:fldCharType="end"/>
            </w:r>
          </w:hyperlink>
        </w:p>
        <w:p w14:paraId="6DF7D01D" w14:textId="7EA978F0" w:rsidR="00F24B9A" w:rsidRDefault="00F24B9A">
          <w:pPr>
            <w:pStyle w:val="TOC2"/>
            <w:tabs>
              <w:tab w:val="right" w:leader="dot" w:pos="9016"/>
            </w:tabs>
            <w:rPr>
              <w:rFonts w:eastAsiaTheme="minorEastAsia"/>
              <w:noProof/>
              <w:sz w:val="24"/>
              <w:szCs w:val="24"/>
              <w:lang w:eastAsia="en-NZ"/>
            </w:rPr>
          </w:pPr>
          <w:hyperlink w:anchor="_Toc211422655" w:history="1">
            <w:r w:rsidRPr="00540333">
              <w:rPr>
                <w:rStyle w:val="Hyperlink"/>
                <w:noProof/>
                <w:lang w:val="en-GB"/>
              </w:rPr>
              <w:t>Economy | Taiōhaka</w:t>
            </w:r>
            <w:r>
              <w:rPr>
                <w:noProof/>
                <w:webHidden/>
              </w:rPr>
              <w:tab/>
            </w:r>
            <w:r>
              <w:rPr>
                <w:noProof/>
                <w:webHidden/>
              </w:rPr>
              <w:fldChar w:fldCharType="begin"/>
            </w:r>
            <w:r>
              <w:rPr>
                <w:noProof/>
                <w:webHidden/>
              </w:rPr>
              <w:instrText xml:space="preserve"> PAGEREF _Toc211422655 \h </w:instrText>
            </w:r>
            <w:r>
              <w:rPr>
                <w:noProof/>
                <w:webHidden/>
              </w:rPr>
            </w:r>
            <w:r>
              <w:rPr>
                <w:noProof/>
                <w:webHidden/>
              </w:rPr>
              <w:fldChar w:fldCharType="separate"/>
            </w:r>
            <w:r>
              <w:rPr>
                <w:noProof/>
                <w:webHidden/>
              </w:rPr>
              <w:t>38</w:t>
            </w:r>
            <w:r>
              <w:rPr>
                <w:noProof/>
                <w:webHidden/>
              </w:rPr>
              <w:fldChar w:fldCharType="end"/>
            </w:r>
          </w:hyperlink>
        </w:p>
        <w:p w14:paraId="7B869BFF" w14:textId="38FC42FF" w:rsidR="00F24B9A" w:rsidRDefault="00F24B9A">
          <w:pPr>
            <w:pStyle w:val="TOC2"/>
            <w:tabs>
              <w:tab w:val="right" w:leader="dot" w:pos="9016"/>
            </w:tabs>
            <w:rPr>
              <w:rFonts w:eastAsiaTheme="minorEastAsia"/>
              <w:noProof/>
              <w:sz w:val="24"/>
              <w:szCs w:val="24"/>
              <w:lang w:eastAsia="en-NZ"/>
            </w:rPr>
          </w:pPr>
          <w:hyperlink w:anchor="_Toc211422657" w:history="1">
            <w:r w:rsidRPr="00540333">
              <w:rPr>
                <w:rStyle w:val="Hyperlink"/>
                <w:noProof/>
                <w:lang w:val="en-GB"/>
              </w:rPr>
              <w:t>Regulatory functions and services | Kā mahi me kā ratoka ā-waiture</w:t>
            </w:r>
            <w:r>
              <w:rPr>
                <w:noProof/>
                <w:webHidden/>
              </w:rPr>
              <w:tab/>
            </w:r>
            <w:r>
              <w:rPr>
                <w:noProof/>
                <w:webHidden/>
              </w:rPr>
              <w:fldChar w:fldCharType="begin"/>
            </w:r>
            <w:r>
              <w:rPr>
                <w:noProof/>
                <w:webHidden/>
              </w:rPr>
              <w:instrText xml:space="preserve"> PAGEREF _Toc211422657 \h </w:instrText>
            </w:r>
            <w:r>
              <w:rPr>
                <w:noProof/>
                <w:webHidden/>
              </w:rPr>
            </w:r>
            <w:r>
              <w:rPr>
                <w:noProof/>
                <w:webHidden/>
              </w:rPr>
              <w:fldChar w:fldCharType="separate"/>
            </w:r>
            <w:r>
              <w:rPr>
                <w:noProof/>
                <w:webHidden/>
              </w:rPr>
              <w:t>39</w:t>
            </w:r>
            <w:r>
              <w:rPr>
                <w:noProof/>
                <w:webHidden/>
              </w:rPr>
              <w:fldChar w:fldCharType="end"/>
            </w:r>
          </w:hyperlink>
        </w:p>
        <w:p w14:paraId="17328EB8" w14:textId="23E17CC2" w:rsidR="00F24B9A" w:rsidRDefault="00F24B9A">
          <w:pPr>
            <w:pStyle w:val="TOC2"/>
            <w:tabs>
              <w:tab w:val="right" w:leader="dot" w:pos="9016"/>
            </w:tabs>
            <w:rPr>
              <w:rFonts w:eastAsiaTheme="minorEastAsia"/>
              <w:noProof/>
              <w:sz w:val="24"/>
              <w:szCs w:val="24"/>
              <w:lang w:eastAsia="en-NZ"/>
            </w:rPr>
          </w:pPr>
          <w:hyperlink w:anchor="_Toc211422659" w:history="1">
            <w:r w:rsidRPr="00540333">
              <w:rPr>
                <w:rStyle w:val="Hyperlink"/>
                <w:noProof/>
                <w:lang w:val="en-GB"/>
              </w:rPr>
              <w:t>Local democracy | Manapori ā-rohe</w:t>
            </w:r>
            <w:r>
              <w:rPr>
                <w:noProof/>
                <w:webHidden/>
              </w:rPr>
              <w:tab/>
            </w:r>
            <w:r>
              <w:rPr>
                <w:noProof/>
                <w:webHidden/>
              </w:rPr>
              <w:fldChar w:fldCharType="begin"/>
            </w:r>
            <w:r>
              <w:rPr>
                <w:noProof/>
                <w:webHidden/>
              </w:rPr>
              <w:instrText xml:space="preserve"> PAGEREF _Toc211422659 \h </w:instrText>
            </w:r>
            <w:r>
              <w:rPr>
                <w:noProof/>
                <w:webHidden/>
              </w:rPr>
            </w:r>
            <w:r>
              <w:rPr>
                <w:noProof/>
                <w:webHidden/>
              </w:rPr>
              <w:fldChar w:fldCharType="separate"/>
            </w:r>
            <w:r>
              <w:rPr>
                <w:noProof/>
                <w:webHidden/>
              </w:rPr>
              <w:t>40</w:t>
            </w:r>
            <w:r>
              <w:rPr>
                <w:noProof/>
                <w:webHidden/>
              </w:rPr>
              <w:fldChar w:fldCharType="end"/>
            </w:r>
          </w:hyperlink>
        </w:p>
        <w:p w14:paraId="6D6F956D" w14:textId="37673D92" w:rsidR="00F24B9A" w:rsidRDefault="00F24B9A">
          <w:pPr>
            <w:pStyle w:val="TOC2"/>
            <w:tabs>
              <w:tab w:val="right" w:leader="dot" w:pos="9016"/>
            </w:tabs>
            <w:rPr>
              <w:rFonts w:eastAsiaTheme="minorEastAsia"/>
              <w:noProof/>
              <w:sz w:val="24"/>
              <w:szCs w:val="24"/>
              <w:lang w:eastAsia="en-NZ"/>
            </w:rPr>
          </w:pPr>
          <w:hyperlink w:anchor="_Toc211422661" w:history="1">
            <w:r w:rsidRPr="00540333">
              <w:rPr>
                <w:rStyle w:val="Hyperlink"/>
                <w:noProof/>
                <w:lang w:val="en-GB"/>
              </w:rPr>
              <w:t>Finance and support services | Rātoka ahumoni</w:t>
            </w:r>
            <w:r>
              <w:rPr>
                <w:noProof/>
                <w:webHidden/>
              </w:rPr>
              <w:tab/>
            </w:r>
            <w:r>
              <w:rPr>
                <w:noProof/>
                <w:webHidden/>
              </w:rPr>
              <w:fldChar w:fldCharType="begin"/>
            </w:r>
            <w:r>
              <w:rPr>
                <w:noProof/>
                <w:webHidden/>
              </w:rPr>
              <w:instrText xml:space="preserve"> PAGEREF _Toc211422661 \h </w:instrText>
            </w:r>
            <w:r>
              <w:rPr>
                <w:noProof/>
                <w:webHidden/>
              </w:rPr>
            </w:r>
            <w:r>
              <w:rPr>
                <w:noProof/>
                <w:webHidden/>
              </w:rPr>
              <w:fldChar w:fldCharType="separate"/>
            </w:r>
            <w:r>
              <w:rPr>
                <w:noProof/>
                <w:webHidden/>
              </w:rPr>
              <w:t>42</w:t>
            </w:r>
            <w:r>
              <w:rPr>
                <w:noProof/>
                <w:webHidden/>
              </w:rPr>
              <w:fldChar w:fldCharType="end"/>
            </w:r>
          </w:hyperlink>
        </w:p>
        <w:p w14:paraId="45B2C361" w14:textId="7F8587F8" w:rsidR="00F24B9A" w:rsidRDefault="00F24B9A">
          <w:pPr>
            <w:pStyle w:val="TOC1"/>
            <w:tabs>
              <w:tab w:val="right" w:leader="dot" w:pos="9016"/>
            </w:tabs>
            <w:rPr>
              <w:rFonts w:eastAsiaTheme="minorEastAsia"/>
              <w:noProof/>
              <w:sz w:val="24"/>
              <w:szCs w:val="24"/>
              <w:lang w:eastAsia="en-NZ"/>
            </w:rPr>
          </w:pPr>
          <w:hyperlink w:anchor="_Toc211422663" w:history="1">
            <w:r w:rsidRPr="00540333">
              <w:rPr>
                <w:rStyle w:val="Hyperlink"/>
                <w:noProof/>
                <w:lang w:val="en-GB"/>
              </w:rPr>
              <w:t>Financial Statements | Kā tauākī ahumoni</w:t>
            </w:r>
            <w:r>
              <w:rPr>
                <w:noProof/>
                <w:webHidden/>
              </w:rPr>
              <w:tab/>
            </w:r>
            <w:r>
              <w:rPr>
                <w:noProof/>
                <w:webHidden/>
              </w:rPr>
              <w:fldChar w:fldCharType="begin"/>
            </w:r>
            <w:r>
              <w:rPr>
                <w:noProof/>
                <w:webHidden/>
              </w:rPr>
              <w:instrText xml:space="preserve"> PAGEREF _Toc211422663 \h </w:instrText>
            </w:r>
            <w:r>
              <w:rPr>
                <w:noProof/>
                <w:webHidden/>
              </w:rPr>
            </w:r>
            <w:r>
              <w:rPr>
                <w:noProof/>
                <w:webHidden/>
              </w:rPr>
              <w:fldChar w:fldCharType="separate"/>
            </w:r>
            <w:r>
              <w:rPr>
                <w:noProof/>
                <w:webHidden/>
              </w:rPr>
              <w:t>45</w:t>
            </w:r>
            <w:r>
              <w:rPr>
                <w:noProof/>
                <w:webHidden/>
              </w:rPr>
              <w:fldChar w:fldCharType="end"/>
            </w:r>
          </w:hyperlink>
        </w:p>
        <w:p w14:paraId="75FE2FBC" w14:textId="5A352BC5" w:rsidR="00F24B9A" w:rsidRDefault="00F24B9A">
          <w:pPr>
            <w:pStyle w:val="TOC2"/>
            <w:tabs>
              <w:tab w:val="right" w:leader="dot" w:pos="9016"/>
            </w:tabs>
            <w:rPr>
              <w:rFonts w:eastAsiaTheme="minorEastAsia"/>
              <w:noProof/>
              <w:sz w:val="24"/>
              <w:szCs w:val="24"/>
              <w:lang w:eastAsia="en-NZ"/>
            </w:rPr>
          </w:pPr>
          <w:hyperlink w:anchor="_Toc211422664" w:history="1">
            <w:r w:rsidRPr="00540333">
              <w:rPr>
                <w:rStyle w:val="Hyperlink"/>
                <w:noProof/>
                <w:lang w:val="en-GB"/>
              </w:rPr>
              <w:t>Reporting against our financial strategy</w:t>
            </w:r>
            <w:r>
              <w:rPr>
                <w:noProof/>
                <w:webHidden/>
              </w:rPr>
              <w:tab/>
            </w:r>
            <w:r>
              <w:rPr>
                <w:noProof/>
                <w:webHidden/>
              </w:rPr>
              <w:fldChar w:fldCharType="begin"/>
            </w:r>
            <w:r>
              <w:rPr>
                <w:noProof/>
                <w:webHidden/>
              </w:rPr>
              <w:instrText xml:space="preserve"> PAGEREF _Toc211422664 \h </w:instrText>
            </w:r>
            <w:r>
              <w:rPr>
                <w:noProof/>
                <w:webHidden/>
              </w:rPr>
            </w:r>
            <w:r>
              <w:rPr>
                <w:noProof/>
                <w:webHidden/>
              </w:rPr>
              <w:fldChar w:fldCharType="separate"/>
            </w:r>
            <w:r>
              <w:rPr>
                <w:noProof/>
                <w:webHidden/>
              </w:rPr>
              <w:t>45</w:t>
            </w:r>
            <w:r>
              <w:rPr>
                <w:noProof/>
                <w:webHidden/>
              </w:rPr>
              <w:fldChar w:fldCharType="end"/>
            </w:r>
          </w:hyperlink>
        </w:p>
        <w:p w14:paraId="580BAC41" w14:textId="7DF67BEF" w:rsidR="00F24B9A" w:rsidRDefault="00F24B9A">
          <w:pPr>
            <w:pStyle w:val="TOC2"/>
            <w:tabs>
              <w:tab w:val="right" w:leader="dot" w:pos="9016"/>
            </w:tabs>
            <w:rPr>
              <w:rFonts w:eastAsiaTheme="minorEastAsia"/>
              <w:noProof/>
              <w:sz w:val="24"/>
              <w:szCs w:val="24"/>
              <w:lang w:eastAsia="en-NZ"/>
            </w:rPr>
          </w:pPr>
          <w:hyperlink w:anchor="_Toc211422668" w:history="1">
            <w:r w:rsidRPr="00540333">
              <w:rPr>
                <w:rStyle w:val="Hyperlink"/>
                <w:noProof/>
                <w:lang w:val="en-GB"/>
              </w:rPr>
              <w:t>Summary Statement of Financial Performance</w:t>
            </w:r>
            <w:r>
              <w:rPr>
                <w:noProof/>
                <w:webHidden/>
              </w:rPr>
              <w:tab/>
            </w:r>
            <w:r>
              <w:rPr>
                <w:noProof/>
                <w:webHidden/>
              </w:rPr>
              <w:fldChar w:fldCharType="begin"/>
            </w:r>
            <w:r>
              <w:rPr>
                <w:noProof/>
                <w:webHidden/>
              </w:rPr>
              <w:instrText xml:space="preserve"> PAGEREF _Toc211422668 \h </w:instrText>
            </w:r>
            <w:r>
              <w:rPr>
                <w:noProof/>
                <w:webHidden/>
              </w:rPr>
            </w:r>
            <w:r>
              <w:rPr>
                <w:noProof/>
                <w:webHidden/>
              </w:rPr>
              <w:fldChar w:fldCharType="separate"/>
            </w:r>
            <w:r>
              <w:rPr>
                <w:noProof/>
                <w:webHidden/>
              </w:rPr>
              <w:t>50</w:t>
            </w:r>
            <w:r>
              <w:rPr>
                <w:noProof/>
                <w:webHidden/>
              </w:rPr>
              <w:fldChar w:fldCharType="end"/>
            </w:r>
          </w:hyperlink>
        </w:p>
        <w:p w14:paraId="52DC182C" w14:textId="60087425" w:rsidR="00F24B9A" w:rsidRDefault="00F24B9A">
          <w:pPr>
            <w:pStyle w:val="TOC2"/>
            <w:tabs>
              <w:tab w:val="right" w:leader="dot" w:pos="9016"/>
            </w:tabs>
            <w:rPr>
              <w:rFonts w:eastAsiaTheme="minorEastAsia"/>
              <w:noProof/>
              <w:sz w:val="24"/>
              <w:szCs w:val="24"/>
              <w:lang w:eastAsia="en-NZ"/>
            </w:rPr>
          </w:pPr>
          <w:hyperlink w:anchor="_Toc211422669" w:history="1">
            <w:r w:rsidRPr="00540333">
              <w:rPr>
                <w:rStyle w:val="Hyperlink"/>
                <w:noProof/>
                <w:lang w:val="en-GB"/>
              </w:rPr>
              <w:t>Summary Statement of Other Comprehensive Revenue and Expense</w:t>
            </w:r>
            <w:r>
              <w:rPr>
                <w:noProof/>
                <w:webHidden/>
              </w:rPr>
              <w:tab/>
            </w:r>
            <w:r>
              <w:rPr>
                <w:noProof/>
                <w:webHidden/>
              </w:rPr>
              <w:fldChar w:fldCharType="begin"/>
            </w:r>
            <w:r>
              <w:rPr>
                <w:noProof/>
                <w:webHidden/>
              </w:rPr>
              <w:instrText xml:space="preserve"> PAGEREF _Toc211422669 \h </w:instrText>
            </w:r>
            <w:r>
              <w:rPr>
                <w:noProof/>
                <w:webHidden/>
              </w:rPr>
            </w:r>
            <w:r>
              <w:rPr>
                <w:noProof/>
                <w:webHidden/>
              </w:rPr>
              <w:fldChar w:fldCharType="separate"/>
            </w:r>
            <w:r>
              <w:rPr>
                <w:noProof/>
                <w:webHidden/>
              </w:rPr>
              <w:t>51</w:t>
            </w:r>
            <w:r>
              <w:rPr>
                <w:noProof/>
                <w:webHidden/>
              </w:rPr>
              <w:fldChar w:fldCharType="end"/>
            </w:r>
          </w:hyperlink>
        </w:p>
        <w:p w14:paraId="609832AA" w14:textId="6107A768" w:rsidR="00F24B9A" w:rsidRDefault="00F24B9A">
          <w:pPr>
            <w:pStyle w:val="TOC2"/>
            <w:tabs>
              <w:tab w:val="right" w:leader="dot" w:pos="9016"/>
            </w:tabs>
            <w:rPr>
              <w:rFonts w:eastAsiaTheme="minorEastAsia"/>
              <w:noProof/>
              <w:sz w:val="24"/>
              <w:szCs w:val="24"/>
              <w:lang w:eastAsia="en-NZ"/>
            </w:rPr>
          </w:pPr>
          <w:hyperlink w:anchor="_Toc211422670" w:history="1">
            <w:r w:rsidRPr="00540333">
              <w:rPr>
                <w:rStyle w:val="Hyperlink"/>
                <w:noProof/>
                <w:lang w:val="en-GB"/>
              </w:rPr>
              <w:t>Summary Statement of Financial Position</w:t>
            </w:r>
            <w:r>
              <w:rPr>
                <w:noProof/>
                <w:webHidden/>
              </w:rPr>
              <w:tab/>
            </w:r>
            <w:r>
              <w:rPr>
                <w:noProof/>
                <w:webHidden/>
              </w:rPr>
              <w:fldChar w:fldCharType="begin"/>
            </w:r>
            <w:r>
              <w:rPr>
                <w:noProof/>
                <w:webHidden/>
              </w:rPr>
              <w:instrText xml:space="preserve"> PAGEREF _Toc211422670 \h </w:instrText>
            </w:r>
            <w:r>
              <w:rPr>
                <w:noProof/>
                <w:webHidden/>
              </w:rPr>
            </w:r>
            <w:r>
              <w:rPr>
                <w:noProof/>
                <w:webHidden/>
              </w:rPr>
              <w:fldChar w:fldCharType="separate"/>
            </w:r>
            <w:r>
              <w:rPr>
                <w:noProof/>
                <w:webHidden/>
              </w:rPr>
              <w:t>52</w:t>
            </w:r>
            <w:r>
              <w:rPr>
                <w:noProof/>
                <w:webHidden/>
              </w:rPr>
              <w:fldChar w:fldCharType="end"/>
            </w:r>
          </w:hyperlink>
        </w:p>
        <w:p w14:paraId="49DC8610" w14:textId="1CEF440A" w:rsidR="00F24B9A" w:rsidRDefault="00F24B9A">
          <w:pPr>
            <w:pStyle w:val="TOC2"/>
            <w:tabs>
              <w:tab w:val="right" w:leader="dot" w:pos="9016"/>
            </w:tabs>
            <w:rPr>
              <w:rFonts w:eastAsiaTheme="minorEastAsia"/>
              <w:noProof/>
              <w:sz w:val="24"/>
              <w:szCs w:val="24"/>
              <w:lang w:eastAsia="en-NZ"/>
            </w:rPr>
          </w:pPr>
          <w:hyperlink w:anchor="_Toc211422671" w:history="1">
            <w:r w:rsidRPr="00540333">
              <w:rPr>
                <w:rStyle w:val="Hyperlink"/>
                <w:noProof/>
                <w:lang w:val="en-GB"/>
              </w:rPr>
              <w:t>Summary Statement of Financial Position</w:t>
            </w:r>
            <w:r>
              <w:rPr>
                <w:noProof/>
                <w:webHidden/>
              </w:rPr>
              <w:tab/>
            </w:r>
            <w:r>
              <w:rPr>
                <w:noProof/>
                <w:webHidden/>
              </w:rPr>
              <w:fldChar w:fldCharType="begin"/>
            </w:r>
            <w:r>
              <w:rPr>
                <w:noProof/>
                <w:webHidden/>
              </w:rPr>
              <w:instrText xml:space="preserve"> PAGEREF _Toc211422671 \h </w:instrText>
            </w:r>
            <w:r>
              <w:rPr>
                <w:noProof/>
                <w:webHidden/>
              </w:rPr>
            </w:r>
            <w:r>
              <w:rPr>
                <w:noProof/>
                <w:webHidden/>
              </w:rPr>
              <w:fldChar w:fldCharType="separate"/>
            </w:r>
            <w:r>
              <w:rPr>
                <w:noProof/>
                <w:webHidden/>
              </w:rPr>
              <w:t>53</w:t>
            </w:r>
            <w:r>
              <w:rPr>
                <w:noProof/>
                <w:webHidden/>
              </w:rPr>
              <w:fldChar w:fldCharType="end"/>
            </w:r>
          </w:hyperlink>
        </w:p>
        <w:p w14:paraId="2C0FF9A4" w14:textId="2323F71F" w:rsidR="00F24B9A" w:rsidRDefault="00F24B9A">
          <w:pPr>
            <w:pStyle w:val="TOC2"/>
            <w:tabs>
              <w:tab w:val="right" w:leader="dot" w:pos="9016"/>
            </w:tabs>
            <w:rPr>
              <w:rFonts w:eastAsiaTheme="minorEastAsia"/>
              <w:noProof/>
              <w:sz w:val="24"/>
              <w:szCs w:val="24"/>
              <w:lang w:eastAsia="en-NZ"/>
            </w:rPr>
          </w:pPr>
          <w:hyperlink w:anchor="_Toc211422672" w:history="1">
            <w:r w:rsidRPr="00540333">
              <w:rPr>
                <w:rStyle w:val="Hyperlink"/>
                <w:noProof/>
                <w:lang w:val="en-GB"/>
              </w:rPr>
              <w:t>Summary Statement of Cash Flows</w:t>
            </w:r>
            <w:r>
              <w:rPr>
                <w:noProof/>
                <w:webHidden/>
              </w:rPr>
              <w:tab/>
            </w:r>
            <w:r>
              <w:rPr>
                <w:noProof/>
                <w:webHidden/>
              </w:rPr>
              <w:fldChar w:fldCharType="begin"/>
            </w:r>
            <w:r>
              <w:rPr>
                <w:noProof/>
                <w:webHidden/>
              </w:rPr>
              <w:instrText xml:space="preserve"> PAGEREF _Toc211422672 \h </w:instrText>
            </w:r>
            <w:r>
              <w:rPr>
                <w:noProof/>
                <w:webHidden/>
              </w:rPr>
            </w:r>
            <w:r>
              <w:rPr>
                <w:noProof/>
                <w:webHidden/>
              </w:rPr>
              <w:fldChar w:fldCharType="separate"/>
            </w:r>
            <w:r>
              <w:rPr>
                <w:noProof/>
                <w:webHidden/>
              </w:rPr>
              <w:t>55</w:t>
            </w:r>
            <w:r>
              <w:rPr>
                <w:noProof/>
                <w:webHidden/>
              </w:rPr>
              <w:fldChar w:fldCharType="end"/>
            </w:r>
          </w:hyperlink>
        </w:p>
        <w:p w14:paraId="7BE8DCA5" w14:textId="7614922B" w:rsidR="00F24B9A" w:rsidRDefault="00F24B9A">
          <w:pPr>
            <w:pStyle w:val="TOC2"/>
            <w:tabs>
              <w:tab w:val="right" w:leader="dot" w:pos="9016"/>
            </w:tabs>
            <w:rPr>
              <w:rFonts w:eastAsiaTheme="minorEastAsia"/>
              <w:noProof/>
              <w:sz w:val="24"/>
              <w:szCs w:val="24"/>
              <w:lang w:eastAsia="en-NZ"/>
            </w:rPr>
          </w:pPr>
          <w:hyperlink w:anchor="_Toc211422673" w:history="1">
            <w:r w:rsidRPr="00540333">
              <w:rPr>
                <w:rStyle w:val="Hyperlink"/>
                <w:noProof/>
                <w:lang w:val="en-GB"/>
              </w:rPr>
              <w:t>Notes to the financial statements</w:t>
            </w:r>
            <w:r>
              <w:rPr>
                <w:noProof/>
                <w:webHidden/>
              </w:rPr>
              <w:tab/>
            </w:r>
            <w:r>
              <w:rPr>
                <w:noProof/>
                <w:webHidden/>
              </w:rPr>
              <w:fldChar w:fldCharType="begin"/>
            </w:r>
            <w:r>
              <w:rPr>
                <w:noProof/>
                <w:webHidden/>
              </w:rPr>
              <w:instrText xml:space="preserve"> PAGEREF _Toc211422673 \h </w:instrText>
            </w:r>
            <w:r>
              <w:rPr>
                <w:noProof/>
                <w:webHidden/>
              </w:rPr>
            </w:r>
            <w:r>
              <w:rPr>
                <w:noProof/>
                <w:webHidden/>
              </w:rPr>
              <w:fldChar w:fldCharType="separate"/>
            </w:r>
            <w:r>
              <w:rPr>
                <w:noProof/>
                <w:webHidden/>
              </w:rPr>
              <w:t>56</w:t>
            </w:r>
            <w:r>
              <w:rPr>
                <w:noProof/>
                <w:webHidden/>
              </w:rPr>
              <w:fldChar w:fldCharType="end"/>
            </w:r>
          </w:hyperlink>
        </w:p>
        <w:p w14:paraId="3E7AEF79" w14:textId="369F71B8" w:rsidR="00F24B9A" w:rsidRDefault="00F24B9A" w:rsidP="00F24B9A">
          <w:pPr>
            <w:pStyle w:val="TOC1"/>
            <w:tabs>
              <w:tab w:val="right" w:leader="dot" w:pos="9016"/>
            </w:tabs>
          </w:pPr>
          <w:hyperlink w:anchor="_Toc211422677" w:history="1">
            <w:r w:rsidRPr="00540333">
              <w:rPr>
                <w:rStyle w:val="Hyperlink"/>
                <w:noProof/>
                <w:lang w:val="en-GB"/>
              </w:rPr>
              <w:t>Auditor’s report | Pūroko a te kaitātari</w:t>
            </w:r>
            <w:r>
              <w:rPr>
                <w:noProof/>
                <w:webHidden/>
              </w:rPr>
              <w:tab/>
            </w:r>
            <w:r>
              <w:rPr>
                <w:noProof/>
                <w:webHidden/>
              </w:rPr>
              <w:fldChar w:fldCharType="begin"/>
            </w:r>
            <w:r>
              <w:rPr>
                <w:noProof/>
                <w:webHidden/>
              </w:rPr>
              <w:instrText xml:space="preserve"> PAGEREF _Toc211422677 \h </w:instrText>
            </w:r>
            <w:r>
              <w:rPr>
                <w:noProof/>
                <w:webHidden/>
              </w:rPr>
            </w:r>
            <w:r>
              <w:rPr>
                <w:noProof/>
                <w:webHidden/>
              </w:rPr>
              <w:fldChar w:fldCharType="separate"/>
            </w:r>
            <w:r>
              <w:rPr>
                <w:noProof/>
                <w:webHidden/>
              </w:rPr>
              <w:t>62</w:t>
            </w:r>
            <w:r>
              <w:rPr>
                <w:noProof/>
                <w:webHidden/>
              </w:rPr>
              <w:fldChar w:fldCharType="end"/>
            </w:r>
          </w:hyperlink>
          <w:r>
            <w:rPr>
              <w:b/>
              <w:bCs/>
              <w:noProof/>
            </w:rPr>
            <w:fldChar w:fldCharType="end"/>
          </w:r>
        </w:p>
      </w:sdtContent>
    </w:sdt>
    <w:p w14:paraId="63053488" w14:textId="59BD4143" w:rsidR="00A00DC3" w:rsidRPr="00E641B6" w:rsidRDefault="00A00DC3">
      <w:pPr>
        <w:rPr>
          <w:sz w:val="24"/>
          <w:lang w:val="en-US"/>
        </w:rPr>
      </w:pPr>
      <w:r w:rsidRPr="00E641B6">
        <w:rPr>
          <w:sz w:val="24"/>
          <w:lang w:val="en-US"/>
        </w:rPr>
        <w:br w:type="page"/>
      </w:r>
    </w:p>
    <w:p w14:paraId="23421B9D" w14:textId="010ED73B" w:rsidR="00C53F0C" w:rsidRDefault="00C53F0C" w:rsidP="00BA79BF">
      <w:pPr>
        <w:pStyle w:val="Heading1"/>
        <w:rPr>
          <w:lang w:val="en-US"/>
        </w:rPr>
      </w:pPr>
      <w:bookmarkStart w:id="2" w:name="_Toc211422615"/>
      <w:r>
        <w:rPr>
          <w:lang w:val="en-US"/>
        </w:rPr>
        <w:lastRenderedPageBreak/>
        <w:t>Introduction</w:t>
      </w:r>
      <w:r w:rsidR="00A13CB7">
        <w:rPr>
          <w:lang w:val="en-US"/>
        </w:rPr>
        <w:t xml:space="preserve"> | </w:t>
      </w:r>
      <w:proofErr w:type="spellStart"/>
      <w:r w:rsidRPr="00C53F0C">
        <w:rPr>
          <w:lang w:val="en-US"/>
        </w:rPr>
        <w:t>Whakatakika</w:t>
      </w:r>
      <w:bookmarkEnd w:id="2"/>
      <w:proofErr w:type="spellEnd"/>
    </w:p>
    <w:p w14:paraId="10F50D3F" w14:textId="2731BCB5" w:rsidR="00BA79BF" w:rsidRDefault="00BA79BF" w:rsidP="00BA79BF">
      <w:pPr>
        <w:pStyle w:val="Heading2"/>
        <w:rPr>
          <w:lang w:val="en-US"/>
        </w:rPr>
      </w:pPr>
      <w:bookmarkStart w:id="3" w:name="_Toc211422616"/>
      <w:r>
        <w:rPr>
          <w:lang w:val="en-US"/>
        </w:rPr>
        <w:t>Our region</w:t>
      </w:r>
      <w:r>
        <w:rPr>
          <w:rStyle w:val="FootnoteReference"/>
          <w:lang w:val="en-US"/>
        </w:rPr>
        <w:footnoteReference w:id="2"/>
      </w:r>
      <w:bookmarkEnd w:id="3"/>
    </w:p>
    <w:p w14:paraId="4D82B056" w14:textId="03F0A6B2" w:rsidR="00BA79BF" w:rsidRPr="00E641B6" w:rsidRDefault="00BA79BF" w:rsidP="00BA79BF">
      <w:pPr>
        <w:rPr>
          <w:sz w:val="24"/>
          <w:lang w:val="en-GB"/>
        </w:rPr>
      </w:pPr>
      <w:r w:rsidRPr="00E641B6">
        <w:rPr>
          <w:b/>
          <w:bCs/>
          <w:sz w:val="24"/>
          <w:lang w:val="en-GB"/>
        </w:rPr>
        <w:t>Queenstown Lakes District</w:t>
      </w:r>
      <w:r w:rsidR="00572B47" w:rsidRPr="00E641B6">
        <w:rPr>
          <w:b/>
          <w:bCs/>
          <w:sz w:val="24"/>
          <w:lang w:val="en-GB"/>
        </w:rPr>
        <w:br/>
      </w:r>
      <w:r w:rsidRPr="00E641B6">
        <w:rPr>
          <w:b/>
          <w:bCs/>
          <w:sz w:val="24"/>
          <w:lang w:val="en-US"/>
        </w:rPr>
        <w:t>Area:</w:t>
      </w:r>
      <w:r w:rsidRPr="00E641B6">
        <w:rPr>
          <w:sz w:val="24"/>
          <w:lang w:val="en-US"/>
        </w:rPr>
        <w:t xml:space="preserve"> 8,719.66km</w:t>
      </w:r>
      <w:r w:rsidRPr="00E641B6">
        <w:rPr>
          <w:sz w:val="24"/>
          <w:vertAlign w:val="superscript"/>
          <w:lang w:val="en-US"/>
        </w:rPr>
        <w:t>2</w:t>
      </w:r>
      <w:r w:rsidR="00572B47" w:rsidRPr="00E641B6">
        <w:rPr>
          <w:sz w:val="24"/>
          <w:vertAlign w:val="superscript"/>
          <w:lang w:val="en-US"/>
        </w:rPr>
        <w:br/>
      </w:r>
      <w:r w:rsidRPr="00E641B6">
        <w:rPr>
          <w:b/>
          <w:bCs/>
          <w:sz w:val="24"/>
          <w:lang w:val="en-US"/>
        </w:rPr>
        <w:t>Total water area:</w:t>
      </w:r>
      <w:r w:rsidRPr="00E641B6">
        <w:rPr>
          <w:sz w:val="24"/>
          <w:lang w:val="en-US"/>
        </w:rPr>
        <w:t xml:space="preserve"> 638km</w:t>
      </w:r>
      <w:r w:rsidRPr="00E641B6">
        <w:rPr>
          <w:sz w:val="24"/>
          <w:vertAlign w:val="superscript"/>
          <w:lang w:val="en-US"/>
        </w:rPr>
        <w:t>2</w:t>
      </w:r>
      <w:r w:rsidR="00572B47" w:rsidRPr="00E641B6">
        <w:rPr>
          <w:sz w:val="24"/>
          <w:vertAlign w:val="superscript"/>
          <w:lang w:val="en-US"/>
        </w:rPr>
        <w:br/>
      </w:r>
      <w:r w:rsidRPr="00E641B6">
        <w:rPr>
          <w:b/>
          <w:bCs/>
          <w:sz w:val="24"/>
          <w:lang w:val="en-US"/>
        </w:rPr>
        <w:t>97%</w:t>
      </w:r>
      <w:r w:rsidRPr="00E641B6">
        <w:rPr>
          <w:sz w:val="24"/>
          <w:lang w:val="en-US"/>
        </w:rPr>
        <w:t xml:space="preserve"> outstanding natural landscape</w:t>
      </w:r>
      <w:r w:rsidR="00572B47" w:rsidRPr="00E641B6">
        <w:rPr>
          <w:sz w:val="24"/>
          <w:lang w:val="en-US"/>
        </w:rPr>
        <w:br/>
      </w:r>
      <w:r w:rsidRPr="00E641B6">
        <w:rPr>
          <w:sz w:val="24"/>
          <w:lang w:val="en-GB"/>
        </w:rPr>
        <w:t xml:space="preserve">Approximately </w:t>
      </w:r>
      <w:r w:rsidRPr="00E641B6">
        <w:rPr>
          <w:b/>
          <w:bCs/>
          <w:sz w:val="24"/>
          <w:lang w:val="en-GB"/>
        </w:rPr>
        <w:t>80%</w:t>
      </w:r>
      <w:r w:rsidRPr="00E641B6">
        <w:rPr>
          <w:sz w:val="24"/>
          <w:lang w:val="en-GB"/>
        </w:rPr>
        <w:t xml:space="preserve"> DOC land</w:t>
      </w:r>
    </w:p>
    <w:p w14:paraId="0E8C5C48" w14:textId="72332913" w:rsidR="00BA79BF" w:rsidRPr="00BA79BF" w:rsidRDefault="00BA79BF" w:rsidP="00BA79BF">
      <w:pPr>
        <w:pStyle w:val="Heading2"/>
        <w:rPr>
          <w:lang w:val="en-GB"/>
        </w:rPr>
      </w:pPr>
      <w:bookmarkStart w:id="4" w:name="_Toc211422617"/>
      <w:r w:rsidRPr="00BA79BF">
        <w:rPr>
          <w:lang w:val="en-GB"/>
        </w:rPr>
        <w:t>Our economy</w:t>
      </w:r>
      <w:bookmarkEnd w:id="4"/>
    </w:p>
    <w:p w14:paraId="7CE76E78" w14:textId="71FC1399" w:rsidR="005E1AB7" w:rsidRPr="00E641B6" w:rsidRDefault="00BA79BF" w:rsidP="00BA79BF">
      <w:pPr>
        <w:rPr>
          <w:sz w:val="24"/>
          <w:lang w:val="en-US"/>
        </w:rPr>
      </w:pPr>
      <w:r w:rsidRPr="00E641B6">
        <w:rPr>
          <w:b/>
          <w:bCs/>
          <w:sz w:val="24"/>
          <w:lang w:val="en-US"/>
        </w:rPr>
        <w:t>GDP</w:t>
      </w:r>
      <w:r w:rsidRPr="00E641B6">
        <w:rPr>
          <w:sz w:val="24"/>
          <w:lang w:val="en-US"/>
        </w:rPr>
        <w:t xml:space="preserve"> (</w:t>
      </w:r>
      <w:r w:rsidR="005E1AB7" w:rsidRPr="00E641B6">
        <w:rPr>
          <w:sz w:val="24"/>
          <w:lang w:val="en-US"/>
        </w:rPr>
        <w:t>December</w:t>
      </w:r>
      <w:r w:rsidRPr="00E641B6">
        <w:rPr>
          <w:sz w:val="24"/>
          <w:lang w:val="en-US"/>
        </w:rPr>
        <w:t xml:space="preserve"> 2024) 4,666M</w:t>
      </w:r>
      <w:r w:rsidR="00572B47" w:rsidRPr="00E641B6">
        <w:rPr>
          <w:sz w:val="24"/>
          <w:lang w:val="en-US"/>
        </w:rPr>
        <w:br/>
      </w:r>
      <w:r w:rsidRPr="00E641B6">
        <w:rPr>
          <w:b/>
          <w:bCs/>
          <w:sz w:val="24"/>
          <w:lang w:val="en-US"/>
        </w:rPr>
        <w:t>Tourism GDP</w:t>
      </w:r>
      <w:r w:rsidRPr="00E641B6">
        <w:rPr>
          <w:sz w:val="24"/>
          <w:lang w:val="en-US"/>
        </w:rPr>
        <w:t xml:space="preserve"> (Mar</w:t>
      </w:r>
      <w:r w:rsidR="005E1AB7" w:rsidRPr="00E641B6">
        <w:rPr>
          <w:sz w:val="24"/>
          <w:lang w:val="en-US"/>
        </w:rPr>
        <w:t>ch</w:t>
      </w:r>
      <w:r w:rsidRPr="00E641B6">
        <w:rPr>
          <w:sz w:val="24"/>
          <w:lang w:val="en-US"/>
        </w:rPr>
        <w:t xml:space="preserve"> 2024) 1,411.2M</w:t>
      </w:r>
      <w:r w:rsidR="005E1AB7" w:rsidRPr="00E641B6">
        <w:rPr>
          <w:sz w:val="24"/>
          <w:lang w:val="en-US"/>
        </w:rPr>
        <w:t xml:space="preserve"> (30.4% of total GDP)</w:t>
      </w:r>
      <w:r w:rsidR="00572B47" w:rsidRPr="00E641B6">
        <w:rPr>
          <w:sz w:val="24"/>
          <w:lang w:val="en-US"/>
        </w:rPr>
        <w:br/>
      </w:r>
      <w:r w:rsidR="005E1AB7" w:rsidRPr="00E641B6">
        <w:rPr>
          <w:b/>
          <w:bCs/>
          <w:sz w:val="24"/>
          <w:lang w:val="en-US"/>
        </w:rPr>
        <w:t>Jobs</w:t>
      </w:r>
      <w:r w:rsidR="005E1AB7" w:rsidRPr="00E641B6">
        <w:rPr>
          <w:sz w:val="24"/>
          <w:lang w:val="en-US"/>
        </w:rPr>
        <w:t xml:space="preserve"> (March 2024) 34,521</w:t>
      </w:r>
      <w:r w:rsidR="00572B47" w:rsidRPr="00E641B6">
        <w:rPr>
          <w:sz w:val="24"/>
          <w:lang w:val="en-US"/>
        </w:rPr>
        <w:br/>
      </w:r>
      <w:r w:rsidR="005E1AB7" w:rsidRPr="00E641B6">
        <w:rPr>
          <w:b/>
          <w:bCs/>
          <w:sz w:val="24"/>
          <w:lang w:val="en-US"/>
        </w:rPr>
        <w:t>Tourism jobs</w:t>
      </w:r>
      <w:r w:rsidR="005E1AB7" w:rsidRPr="00E641B6">
        <w:rPr>
          <w:sz w:val="24"/>
          <w:lang w:val="en-US"/>
        </w:rPr>
        <w:t xml:space="preserve"> (March 2024) 11,576 (33.5% of total jobs)</w:t>
      </w:r>
      <w:r w:rsidR="00572B47" w:rsidRPr="00E641B6">
        <w:rPr>
          <w:sz w:val="24"/>
          <w:lang w:val="en-US"/>
        </w:rPr>
        <w:br/>
      </w:r>
      <w:r w:rsidR="005E1AB7" w:rsidRPr="00E641B6">
        <w:rPr>
          <w:b/>
          <w:bCs/>
          <w:sz w:val="24"/>
          <w:lang w:val="en-US"/>
        </w:rPr>
        <w:t>4.5M commercial accommodation guest nights</w:t>
      </w:r>
      <w:r w:rsidR="005E1AB7" w:rsidRPr="00E641B6">
        <w:rPr>
          <w:sz w:val="24"/>
          <w:lang w:val="en-US"/>
        </w:rPr>
        <w:t xml:space="preserve"> (11.5% of New Zealand total)</w:t>
      </w:r>
    </w:p>
    <w:p w14:paraId="12D51F97" w14:textId="64FFD589" w:rsidR="005E1AB7" w:rsidRPr="00E641B6" w:rsidRDefault="005E1AB7" w:rsidP="005E1AB7">
      <w:pPr>
        <w:rPr>
          <w:sz w:val="24"/>
          <w:lang w:val="en-GB"/>
        </w:rPr>
      </w:pPr>
      <w:r w:rsidRPr="00E641B6">
        <w:rPr>
          <w:sz w:val="24"/>
          <w:lang w:val="en-GB"/>
        </w:rPr>
        <w:t xml:space="preserve">Tourism and construction dominate the Queenstown Lakes economy. Over the last decade, more than </w:t>
      </w:r>
      <w:r w:rsidRPr="00E641B6">
        <w:rPr>
          <w:b/>
          <w:bCs/>
          <w:sz w:val="24"/>
          <w:lang w:val="en-GB"/>
        </w:rPr>
        <w:t>60%</w:t>
      </w:r>
      <w:r w:rsidRPr="00E641B6">
        <w:rPr>
          <w:sz w:val="24"/>
          <w:lang w:val="en-GB"/>
        </w:rPr>
        <w:t xml:space="preserve"> of all workers in the district were employed in these industries.</w:t>
      </w:r>
      <w:r w:rsidRPr="00E641B6">
        <w:rPr>
          <w:rStyle w:val="FootnoteReference"/>
          <w:sz w:val="24"/>
          <w:lang w:val="en-GB"/>
        </w:rPr>
        <w:footnoteReference w:id="3"/>
      </w:r>
    </w:p>
    <w:p w14:paraId="27BBCFAE" w14:textId="289C6BA8" w:rsidR="005E1AB7" w:rsidRPr="00E641B6" w:rsidRDefault="005E1AB7" w:rsidP="00BA79BF">
      <w:pPr>
        <w:rPr>
          <w:sz w:val="24"/>
          <w:lang w:val="en-GB"/>
        </w:rPr>
      </w:pPr>
      <w:r w:rsidRPr="00E641B6">
        <w:rPr>
          <w:sz w:val="24"/>
          <w:lang w:val="en-GB"/>
        </w:rPr>
        <w:t>In proportion to incomes, housing in the district is the second least affordable in Aotearoa New Zealand</w:t>
      </w:r>
      <w:r w:rsidR="00840690" w:rsidRPr="00E641B6">
        <w:rPr>
          <w:sz w:val="24"/>
          <w:lang w:val="en-GB"/>
        </w:rPr>
        <w:t>.</w:t>
      </w:r>
      <w:r w:rsidR="00840690" w:rsidRPr="00E641B6">
        <w:rPr>
          <w:rStyle w:val="FootnoteReference"/>
          <w:sz w:val="24"/>
          <w:lang w:val="en-GB"/>
        </w:rPr>
        <w:footnoteReference w:id="4"/>
      </w:r>
    </w:p>
    <w:p w14:paraId="71647679" w14:textId="66704637" w:rsidR="00033DC6" w:rsidRPr="00E641B6" w:rsidRDefault="00033DC6" w:rsidP="00033DC6">
      <w:pPr>
        <w:rPr>
          <w:sz w:val="24"/>
          <w:lang w:val="en-GB"/>
        </w:rPr>
      </w:pPr>
      <w:r w:rsidRPr="00E641B6">
        <w:rPr>
          <w:b/>
          <w:bCs/>
          <w:sz w:val="24"/>
          <w:lang w:val="en-GB"/>
        </w:rPr>
        <w:t>Housing affordability index</w:t>
      </w:r>
      <w:r w:rsidRPr="00E641B6">
        <w:rPr>
          <w:b/>
          <w:bCs/>
          <w:sz w:val="24"/>
          <w:lang w:val="en-GB"/>
        </w:rPr>
        <w:br/>
      </w:r>
      <w:r w:rsidRPr="00E641B6">
        <w:rPr>
          <w:sz w:val="24"/>
          <w:lang w:val="en-GB"/>
        </w:rPr>
        <w:t>Queenstown Lakes District 13.3</w:t>
      </w:r>
      <w:r w:rsidRPr="00E641B6">
        <w:rPr>
          <w:sz w:val="24"/>
          <w:lang w:val="en-GB"/>
        </w:rPr>
        <w:br/>
        <w:t>New Zealand 7.2</w:t>
      </w:r>
    </w:p>
    <w:p w14:paraId="0EC1DE89" w14:textId="07161EA2" w:rsidR="00033DC6" w:rsidRDefault="00033DC6" w:rsidP="00033DC6">
      <w:pPr>
        <w:pStyle w:val="Heading2"/>
        <w:rPr>
          <w:lang w:val="en-GB"/>
        </w:rPr>
      </w:pPr>
      <w:bookmarkStart w:id="5" w:name="_Toc211422618"/>
      <w:r>
        <w:rPr>
          <w:lang w:val="en-GB"/>
        </w:rPr>
        <w:t>Our people</w:t>
      </w:r>
      <w:bookmarkEnd w:id="5"/>
    </w:p>
    <w:p w14:paraId="384A48B2" w14:textId="30F015DE" w:rsidR="00572B47" w:rsidRPr="00E641B6" w:rsidRDefault="00033DC6" w:rsidP="00572B47">
      <w:pPr>
        <w:rPr>
          <w:b/>
          <w:bCs/>
          <w:sz w:val="24"/>
          <w:lang w:val="en-GB"/>
        </w:rPr>
      </w:pPr>
      <w:r w:rsidRPr="00E641B6">
        <w:rPr>
          <w:b/>
          <w:bCs/>
          <w:sz w:val="24"/>
          <w:lang w:val="en-GB"/>
        </w:rPr>
        <w:t>Population</w:t>
      </w:r>
      <w:r w:rsidRPr="00E641B6">
        <w:rPr>
          <w:sz w:val="24"/>
          <w:lang w:val="en-GB"/>
        </w:rPr>
        <w:t xml:space="preserve"> (May 2025) 54,440</w:t>
      </w:r>
      <w:r w:rsidR="00572B47" w:rsidRPr="00E641B6">
        <w:rPr>
          <w:sz w:val="24"/>
          <w:lang w:val="en-GB"/>
        </w:rPr>
        <w:br/>
      </w:r>
      <w:r w:rsidRPr="00E641B6">
        <w:rPr>
          <w:b/>
          <w:bCs/>
          <w:sz w:val="24"/>
          <w:lang w:val="en-GB"/>
        </w:rPr>
        <w:t>Median age:</w:t>
      </w:r>
      <w:r w:rsidRPr="00E641B6">
        <w:rPr>
          <w:sz w:val="24"/>
          <w:lang w:val="en-GB"/>
        </w:rPr>
        <w:t xml:space="preserve"> 35.5 years</w:t>
      </w:r>
      <w:r w:rsidRPr="00E641B6">
        <w:rPr>
          <w:rStyle w:val="FootnoteReference"/>
          <w:sz w:val="24"/>
          <w:lang w:val="en-GB"/>
        </w:rPr>
        <w:footnoteReference w:id="5"/>
      </w:r>
      <w:r w:rsidR="00572B47" w:rsidRPr="00E641B6">
        <w:rPr>
          <w:sz w:val="24"/>
          <w:lang w:val="en-GB"/>
        </w:rPr>
        <w:br/>
      </w:r>
      <w:r w:rsidRPr="00E641B6">
        <w:rPr>
          <w:b/>
          <w:bCs/>
          <w:sz w:val="24"/>
          <w:lang w:val="en-GB"/>
        </w:rPr>
        <w:t xml:space="preserve">38% </w:t>
      </w:r>
      <w:r w:rsidRPr="00E641B6">
        <w:rPr>
          <w:sz w:val="24"/>
          <w:lang w:val="en-GB"/>
        </w:rPr>
        <w:t xml:space="preserve">of our population is </w:t>
      </w:r>
      <w:r w:rsidRPr="00E641B6">
        <w:rPr>
          <w:b/>
          <w:bCs/>
          <w:sz w:val="24"/>
          <w:lang w:val="en-GB"/>
        </w:rPr>
        <w:t>aged 25–39</w:t>
      </w:r>
      <w:r w:rsidR="00572B47" w:rsidRPr="00E641B6">
        <w:rPr>
          <w:rStyle w:val="FootnoteReference"/>
          <w:b/>
          <w:bCs/>
          <w:sz w:val="24"/>
          <w:lang w:val="en-GB"/>
        </w:rPr>
        <w:footnoteReference w:id="6"/>
      </w:r>
      <w:r w:rsidR="00572B47" w:rsidRPr="00E641B6">
        <w:rPr>
          <w:b/>
          <w:bCs/>
          <w:sz w:val="24"/>
          <w:lang w:val="en-GB"/>
        </w:rPr>
        <w:br/>
        <w:t xml:space="preserve">9% </w:t>
      </w:r>
      <w:r w:rsidR="00572B47" w:rsidRPr="00E641B6">
        <w:rPr>
          <w:sz w:val="24"/>
          <w:lang w:val="en-GB"/>
        </w:rPr>
        <w:t xml:space="preserve">of our population identify as </w:t>
      </w:r>
      <w:r w:rsidR="00572B47" w:rsidRPr="00E641B6">
        <w:rPr>
          <w:b/>
          <w:bCs/>
          <w:sz w:val="24"/>
          <w:lang w:val="en-GB"/>
        </w:rPr>
        <w:t>Māori</w:t>
      </w:r>
      <w:r w:rsidR="00572B47" w:rsidRPr="00E641B6">
        <w:rPr>
          <w:rStyle w:val="FootnoteReference"/>
          <w:b/>
          <w:bCs/>
          <w:sz w:val="24"/>
          <w:lang w:val="en-GB"/>
        </w:rPr>
        <w:footnoteReference w:id="7"/>
      </w:r>
      <w:r w:rsidR="00572B47" w:rsidRPr="00E641B6">
        <w:rPr>
          <w:b/>
          <w:bCs/>
          <w:sz w:val="24"/>
          <w:lang w:val="en-GB"/>
        </w:rPr>
        <w:br/>
      </w:r>
      <w:r w:rsidR="00572B47" w:rsidRPr="00E641B6">
        <w:rPr>
          <w:sz w:val="24"/>
          <w:lang w:val="en-GB"/>
        </w:rPr>
        <w:t xml:space="preserve">Our population is projected to grow on average by </w:t>
      </w:r>
      <w:r w:rsidR="00572B47" w:rsidRPr="00E641B6">
        <w:rPr>
          <w:b/>
          <w:bCs/>
          <w:sz w:val="24"/>
          <w:lang w:val="en-GB"/>
        </w:rPr>
        <w:t>2.5% per annum</w:t>
      </w:r>
      <w:r w:rsidR="00572B47" w:rsidRPr="00E641B6">
        <w:rPr>
          <w:rStyle w:val="FootnoteReference"/>
          <w:b/>
          <w:bCs/>
          <w:sz w:val="24"/>
          <w:lang w:val="en-GB"/>
        </w:rPr>
        <w:footnoteReference w:id="8"/>
      </w:r>
      <w:r w:rsidR="00572B47" w:rsidRPr="00E641B6">
        <w:rPr>
          <w:b/>
          <w:bCs/>
          <w:sz w:val="24"/>
          <w:lang w:val="en-GB"/>
        </w:rPr>
        <w:t xml:space="preserve"> until 2035</w:t>
      </w:r>
    </w:p>
    <w:p w14:paraId="75B25C84" w14:textId="3832D44D" w:rsidR="00572B47" w:rsidRDefault="00572B47" w:rsidP="00572B47">
      <w:pPr>
        <w:pStyle w:val="Heading2"/>
        <w:rPr>
          <w:lang w:val="en-GB"/>
        </w:rPr>
      </w:pPr>
      <w:bookmarkStart w:id="6" w:name="_Toc211422619"/>
      <w:r w:rsidRPr="00572B47">
        <w:rPr>
          <w:lang w:val="en-GB"/>
        </w:rPr>
        <w:lastRenderedPageBreak/>
        <w:t>What our people think</w:t>
      </w:r>
      <w:r>
        <w:rPr>
          <w:lang w:val="en-GB"/>
        </w:rPr>
        <w:t xml:space="preserve"> </w:t>
      </w:r>
      <w:r w:rsidRPr="00572B47">
        <w:rPr>
          <w:lang w:val="en-GB"/>
        </w:rPr>
        <w:t>about living here</w:t>
      </w:r>
      <w:bookmarkEnd w:id="6"/>
    </w:p>
    <w:p w14:paraId="4E40A5D1" w14:textId="21431C9C" w:rsidR="00A13CB7" w:rsidRPr="00E641B6" w:rsidRDefault="00572B47" w:rsidP="00A13CB7">
      <w:pPr>
        <w:rPr>
          <w:sz w:val="24"/>
          <w:lang w:val="en-GB"/>
        </w:rPr>
      </w:pPr>
      <w:r w:rsidRPr="00E641B6">
        <w:rPr>
          <w:b/>
          <w:bCs/>
          <w:sz w:val="24"/>
          <w:lang w:val="en-GB"/>
        </w:rPr>
        <w:t>76% of our population rate their quality of life as good or extremely good</w:t>
      </w:r>
      <w:r w:rsidR="00A13CB7" w:rsidRPr="00E641B6">
        <w:rPr>
          <w:b/>
          <w:bCs/>
          <w:sz w:val="24"/>
          <w:lang w:val="en-GB"/>
        </w:rPr>
        <w:t>.</w:t>
      </w:r>
      <w:r w:rsidR="00A13CB7" w:rsidRPr="00E641B6">
        <w:rPr>
          <w:rStyle w:val="FootnoteReference"/>
          <w:b/>
          <w:bCs/>
          <w:sz w:val="24"/>
          <w:lang w:val="en-GB"/>
        </w:rPr>
        <w:footnoteReference w:id="9"/>
      </w:r>
      <w:r w:rsidR="00A13CB7" w:rsidRPr="00E641B6">
        <w:rPr>
          <w:b/>
          <w:bCs/>
          <w:sz w:val="24"/>
          <w:lang w:val="en-GB"/>
        </w:rPr>
        <w:br/>
      </w:r>
      <w:r w:rsidR="00A13CB7" w:rsidRPr="00E641B6">
        <w:rPr>
          <w:sz w:val="24"/>
          <w:lang w:val="en-GB"/>
        </w:rPr>
        <w:t>The natural environment, the people in our communities, and the lifestyle our district offers are key contributors to locals’ wellbeing.</w:t>
      </w:r>
    </w:p>
    <w:p w14:paraId="5483C9DD" w14:textId="28BA7D0C" w:rsidR="005E1AB7" w:rsidRPr="00E641B6" w:rsidRDefault="00A13CB7" w:rsidP="00BA79BF">
      <w:pPr>
        <w:rPr>
          <w:sz w:val="24"/>
          <w:lang w:val="en-GB"/>
        </w:rPr>
      </w:pPr>
      <w:r w:rsidRPr="00E641B6">
        <w:rPr>
          <w:sz w:val="24"/>
          <w:lang w:val="en-GB"/>
        </w:rPr>
        <w:t xml:space="preserve">Interested in knowing more?  Visit </w:t>
      </w:r>
      <w:hyperlink r:id="rId11" w:history="1">
        <w:r w:rsidR="00BA5C93" w:rsidRPr="0016741A">
          <w:rPr>
            <w:rStyle w:val="Hyperlink"/>
            <w:b/>
            <w:bCs/>
            <w:sz w:val="24"/>
            <w:lang w:val="en-GB"/>
          </w:rPr>
          <w:t>www.qldc.govt.nz/wellbeing-dashboard</w:t>
        </w:r>
      </w:hyperlink>
      <w:r w:rsidRPr="00E641B6">
        <w:rPr>
          <w:sz w:val="24"/>
          <w:lang w:val="en-GB"/>
        </w:rPr>
        <w:t xml:space="preserve"> for more information about local wellbeing insights.</w:t>
      </w:r>
    </w:p>
    <w:p w14:paraId="2B5C6272" w14:textId="1239691D" w:rsidR="002A3A5C" w:rsidRPr="00E641B6" w:rsidRDefault="002A3A5C">
      <w:pPr>
        <w:rPr>
          <w:sz w:val="24"/>
          <w:lang w:val="en-GB"/>
        </w:rPr>
      </w:pPr>
      <w:r w:rsidRPr="00E641B6">
        <w:rPr>
          <w:sz w:val="24"/>
          <w:lang w:val="en-GB"/>
        </w:rPr>
        <w:br w:type="page"/>
      </w:r>
    </w:p>
    <w:p w14:paraId="5EC13288" w14:textId="47BC2501" w:rsidR="00C446E6" w:rsidRPr="00760AC1" w:rsidRDefault="00C446E6" w:rsidP="00C53F0C">
      <w:pPr>
        <w:pStyle w:val="Heading1"/>
        <w:rPr>
          <w:lang w:val="en-US"/>
        </w:rPr>
      </w:pPr>
      <w:bookmarkStart w:id="7" w:name="_Toc211422620"/>
      <w:r w:rsidRPr="00C446E6">
        <w:rPr>
          <w:lang w:val="en-US"/>
        </w:rPr>
        <w:lastRenderedPageBreak/>
        <w:t>A message from the</w:t>
      </w:r>
      <w:r>
        <w:rPr>
          <w:lang w:val="en-US"/>
        </w:rPr>
        <w:t xml:space="preserve"> </w:t>
      </w:r>
      <w:r w:rsidRPr="00C446E6">
        <w:rPr>
          <w:lang w:val="en-US"/>
        </w:rPr>
        <w:t>Chief Executive</w:t>
      </w:r>
      <w:r w:rsidR="00A13CB7">
        <w:rPr>
          <w:lang w:val="en-US"/>
        </w:rPr>
        <w:t xml:space="preserve"> | </w:t>
      </w:r>
      <w:r w:rsidRPr="00C446E6">
        <w:rPr>
          <w:lang w:val="en-US"/>
        </w:rPr>
        <w:t xml:space="preserve">He </w:t>
      </w:r>
      <w:proofErr w:type="spellStart"/>
      <w:r w:rsidRPr="00C446E6">
        <w:rPr>
          <w:lang w:val="en-US"/>
        </w:rPr>
        <w:t>karere</w:t>
      </w:r>
      <w:proofErr w:type="spellEnd"/>
      <w:r w:rsidRPr="00C446E6">
        <w:rPr>
          <w:lang w:val="en-US"/>
        </w:rPr>
        <w:t xml:space="preserve"> </w:t>
      </w:r>
      <w:proofErr w:type="spellStart"/>
      <w:r w:rsidRPr="00C446E6">
        <w:rPr>
          <w:lang w:val="en-US"/>
        </w:rPr>
        <w:t>nā</w:t>
      </w:r>
      <w:proofErr w:type="spellEnd"/>
      <w:r w:rsidRPr="00C446E6">
        <w:rPr>
          <w:lang w:val="en-US"/>
        </w:rPr>
        <w:t xml:space="preserve"> </w:t>
      </w:r>
      <w:proofErr w:type="spellStart"/>
      <w:r w:rsidRPr="00C446E6">
        <w:rPr>
          <w:lang w:val="en-US"/>
        </w:rPr>
        <w:t>te</w:t>
      </w:r>
      <w:proofErr w:type="spellEnd"/>
      <w:r w:rsidRPr="00C446E6">
        <w:rPr>
          <w:lang w:val="en-US"/>
        </w:rPr>
        <w:t xml:space="preserve"> Kaiwhakahaere Matua</w:t>
      </w:r>
      <w:bookmarkEnd w:id="7"/>
    </w:p>
    <w:p w14:paraId="07476D75" w14:textId="576E5946" w:rsidR="00F16708" w:rsidRPr="00F16708" w:rsidRDefault="00F16708" w:rsidP="00F16708">
      <w:pPr>
        <w:rPr>
          <w:sz w:val="24"/>
          <w:szCs w:val="24"/>
          <w:lang w:val="en-US"/>
        </w:rPr>
      </w:pPr>
      <w:r w:rsidRPr="00F16708">
        <w:rPr>
          <w:sz w:val="24"/>
          <w:szCs w:val="24"/>
          <w:lang w:val="en-US"/>
        </w:rPr>
        <w:t xml:space="preserve">This Annual Report provides a reflection on the first year of delivery for the </w:t>
      </w:r>
      <w:proofErr w:type="gramStart"/>
      <w:r w:rsidRPr="00F16708">
        <w:rPr>
          <w:sz w:val="24"/>
          <w:szCs w:val="24"/>
          <w:lang w:val="en-US"/>
        </w:rPr>
        <w:t>Long Term</w:t>
      </w:r>
      <w:proofErr w:type="gramEnd"/>
      <w:r w:rsidRPr="00F16708">
        <w:rPr>
          <w:sz w:val="24"/>
          <w:szCs w:val="24"/>
          <w:lang w:val="en-US"/>
        </w:rPr>
        <w:t xml:space="preserve"> Plan 2024-2034 (LTP)</w:t>
      </w:r>
      <w:r w:rsidR="00C446E6">
        <w:rPr>
          <w:rStyle w:val="FootnoteReference"/>
          <w:sz w:val="24"/>
          <w:szCs w:val="24"/>
          <w:lang w:val="en-US"/>
        </w:rPr>
        <w:footnoteReference w:id="10"/>
      </w:r>
      <w:r w:rsidRPr="00F16708">
        <w:rPr>
          <w:sz w:val="24"/>
          <w:szCs w:val="24"/>
          <w:lang w:val="en-US"/>
        </w:rPr>
        <w:t xml:space="preserve">. In a time of significant change in local government, the adoption of the LTP itself was unusual in so much as in 2024 this was deferred from the statutory June date to be adopted in September. This timeline allowed more time to meet changed government requirements for planning and delivery of three waters infrastructure, and to reintroduce water assets back into Council’s long-term budgets. </w:t>
      </w:r>
    </w:p>
    <w:p w14:paraId="35AEA7AE" w14:textId="391C3796" w:rsidR="00F16708" w:rsidRPr="00F16708" w:rsidRDefault="00F16708" w:rsidP="00F16708">
      <w:pPr>
        <w:rPr>
          <w:sz w:val="24"/>
          <w:szCs w:val="24"/>
          <w:lang w:val="en-US"/>
        </w:rPr>
      </w:pPr>
      <w:r w:rsidRPr="00F16708">
        <w:rPr>
          <w:sz w:val="24"/>
          <w:szCs w:val="24"/>
          <w:lang w:val="en-US"/>
        </w:rPr>
        <w:t>In the interim years Council must adopt an Annual Plan</w:t>
      </w:r>
      <w:r w:rsidR="00C446E6">
        <w:rPr>
          <w:rStyle w:val="FootnoteReference"/>
          <w:sz w:val="24"/>
          <w:szCs w:val="24"/>
          <w:lang w:val="en-US"/>
        </w:rPr>
        <w:footnoteReference w:id="11"/>
      </w:r>
      <w:r w:rsidRPr="00F16708">
        <w:rPr>
          <w:sz w:val="24"/>
          <w:szCs w:val="24"/>
          <w:lang w:val="en-US"/>
        </w:rPr>
        <w:t>, which identifies any planned changes to the LTP. Council decided at a meeting in February 2025 that it did not need to formally consult on the draft plan for 2025-2026. This was due to analysis of draft budgets and investment plans determining no material or significant changes to projects, resources or costs for the financial year from the content of the LTP. The deferred LTP timeline also meant it had been a shorter-than-normal period before needing to consider an Annual Plan. Therefore, Council agreed to share information to remind the community what Council had already committed to, provide</w:t>
      </w:r>
      <w:r>
        <w:rPr>
          <w:sz w:val="24"/>
          <w:szCs w:val="24"/>
          <w:lang w:val="en-US"/>
        </w:rPr>
        <w:t xml:space="preserve"> </w:t>
      </w:r>
      <w:r w:rsidRPr="00F16708">
        <w:rPr>
          <w:sz w:val="24"/>
          <w:szCs w:val="24"/>
          <w:lang w:val="en-US"/>
        </w:rPr>
        <w:t xml:space="preserve">updates on progress since the LTP was adopted and an informal opportunity to share general feedback. The Local Government Act 2002 enables this approach. That Annual Plan was adopted by Council at its meeting on 26 June 2025 with the average annual rates increase across the district remaining at the predicted 13.5%. Whilst this is a high increase it reflects the ongoing significant investment in infrastructure that Council must make. This includes roading and three waters and social infrastructure like community venues, reserves and parks – all necessary to support the sustained levels of growth across Queenstown Lakes. </w:t>
      </w:r>
    </w:p>
    <w:p w14:paraId="6BAE0BDB" w14:textId="4538B4B7" w:rsidR="00F16708" w:rsidRPr="00F16708" w:rsidRDefault="00F16708" w:rsidP="00F16708">
      <w:pPr>
        <w:rPr>
          <w:sz w:val="24"/>
          <w:szCs w:val="24"/>
          <w:lang w:val="en-US"/>
        </w:rPr>
      </w:pPr>
      <w:r w:rsidRPr="00F16708">
        <w:rPr>
          <w:sz w:val="24"/>
          <w:szCs w:val="24"/>
          <w:lang w:val="en-US"/>
        </w:rPr>
        <w:t xml:space="preserve">The starting position for </w:t>
      </w:r>
      <w:proofErr w:type="gramStart"/>
      <w:r w:rsidRPr="00F16708">
        <w:rPr>
          <w:sz w:val="24"/>
          <w:szCs w:val="24"/>
          <w:lang w:val="en-US"/>
        </w:rPr>
        <w:t>the LTP</w:t>
      </w:r>
      <w:proofErr w:type="gramEnd"/>
      <w:r w:rsidRPr="00F16708">
        <w:rPr>
          <w:sz w:val="24"/>
          <w:szCs w:val="24"/>
          <w:lang w:val="en-US"/>
        </w:rPr>
        <w:t xml:space="preserve"> was considered unaffordable for our communities and the LTP was developed with affordability as a priority. Unfortunately, the ongoing challenging economic environment has meant that inflation, high interest and insurance rates, electricity and government compliance costs are not only shaping budgets across the local government sector but also worldwide. The desirability of the district as a destination to live and work has continued to put pressure on building costs and drive demand for infrastructure investment. In March 2025, QV announced</w:t>
      </w:r>
      <w:r w:rsidR="00C446E6">
        <w:rPr>
          <w:rStyle w:val="FootnoteReference"/>
          <w:sz w:val="24"/>
          <w:szCs w:val="24"/>
          <w:lang w:val="en-US"/>
        </w:rPr>
        <w:footnoteReference w:id="12"/>
      </w:r>
      <w:r w:rsidRPr="00F16708">
        <w:rPr>
          <w:sz w:val="24"/>
          <w:szCs w:val="24"/>
          <w:lang w:val="en-US"/>
        </w:rPr>
        <w:t xml:space="preserve"> new three-yearly rating valuations. Since the district’s last revaluation in 2021, the value of residential housing has increased by an average of 18.3%. The average house value is now $2,035,732, while the corresponding average land value has also increased by 19.3% to a new average of $1,076,925. Council extensively reviewed operational costs and activity to look for opportunities to reduce expenditure. Regardless, delivering services continues to cost more despite the LTP reflecting the need to “cut our cloth” accordingly. Over the last year, Council has continued to navigate multiple </w:t>
      </w:r>
      <w:proofErr w:type="spellStart"/>
      <w:r w:rsidRPr="00F16708">
        <w:rPr>
          <w:sz w:val="24"/>
          <w:szCs w:val="24"/>
          <w:lang w:val="en-US"/>
        </w:rPr>
        <w:t>programmes</w:t>
      </w:r>
      <w:proofErr w:type="spellEnd"/>
      <w:r w:rsidRPr="00F16708">
        <w:rPr>
          <w:sz w:val="24"/>
          <w:szCs w:val="24"/>
          <w:lang w:val="en-US"/>
        </w:rPr>
        <w:t xml:space="preserve"> </w:t>
      </w:r>
      <w:r w:rsidRPr="00F16708">
        <w:rPr>
          <w:sz w:val="24"/>
          <w:szCs w:val="24"/>
          <w:lang w:val="en-US"/>
        </w:rPr>
        <w:lastRenderedPageBreak/>
        <w:t>of government reform, and a change in government created further uncertainty and more change. This is particularly pertinent to the current government’s Local Water</w:t>
      </w:r>
      <w:r w:rsidR="007E007B">
        <w:rPr>
          <w:sz w:val="24"/>
          <w:szCs w:val="24"/>
          <w:lang w:val="en-US"/>
        </w:rPr>
        <w:t xml:space="preserve"> </w:t>
      </w:r>
      <w:r w:rsidRPr="00F16708">
        <w:rPr>
          <w:sz w:val="24"/>
          <w:szCs w:val="24"/>
          <w:lang w:val="en-US"/>
        </w:rPr>
        <w:t>Done Well</w:t>
      </w:r>
      <w:r w:rsidR="00C446E6">
        <w:rPr>
          <w:rStyle w:val="FootnoteReference"/>
          <w:sz w:val="24"/>
          <w:szCs w:val="24"/>
          <w:lang w:val="en-US"/>
        </w:rPr>
        <w:footnoteReference w:id="13"/>
      </w:r>
      <w:r w:rsidRPr="00F16708">
        <w:rPr>
          <w:sz w:val="24"/>
          <w:szCs w:val="24"/>
          <w:lang w:val="en-US"/>
        </w:rPr>
        <w:t xml:space="preserve"> </w:t>
      </w:r>
      <w:proofErr w:type="spellStart"/>
      <w:r w:rsidRPr="00F16708">
        <w:rPr>
          <w:sz w:val="24"/>
          <w:szCs w:val="24"/>
          <w:lang w:val="en-US"/>
        </w:rPr>
        <w:t>programme</w:t>
      </w:r>
      <w:proofErr w:type="spellEnd"/>
      <w:r w:rsidRPr="00F16708">
        <w:rPr>
          <w:sz w:val="24"/>
          <w:szCs w:val="24"/>
          <w:lang w:val="en-US"/>
        </w:rPr>
        <w:t xml:space="preserve"> to address Aotearoa New Zealand’s water infrastructure challenges through an increased focus on long term financial sustainability.</w:t>
      </w:r>
    </w:p>
    <w:p w14:paraId="4B61ABA1" w14:textId="747D88AF" w:rsidR="00F16708" w:rsidRPr="00F16708" w:rsidRDefault="00F16708" w:rsidP="00E74095">
      <w:pPr>
        <w:pStyle w:val="Heading2"/>
        <w:rPr>
          <w:lang w:val="en-US"/>
        </w:rPr>
      </w:pPr>
      <w:bookmarkStart w:id="8" w:name="_Toc211422621"/>
      <w:r w:rsidRPr="00F16708">
        <w:rPr>
          <w:lang w:val="en-US"/>
        </w:rPr>
        <w:t>Designing future water services delivery</w:t>
      </w:r>
      <w:bookmarkEnd w:id="8"/>
    </w:p>
    <w:p w14:paraId="7D022E28" w14:textId="77777777" w:rsidR="00F16708" w:rsidRPr="00F16708" w:rsidRDefault="00F16708" w:rsidP="00F16708">
      <w:pPr>
        <w:rPr>
          <w:sz w:val="24"/>
          <w:szCs w:val="24"/>
          <w:lang w:val="en-US"/>
        </w:rPr>
      </w:pPr>
      <w:r w:rsidRPr="00F16708">
        <w:rPr>
          <w:sz w:val="24"/>
          <w:szCs w:val="24"/>
          <w:lang w:val="en-US"/>
        </w:rPr>
        <w:t xml:space="preserve">Three Waters provision makes up a significant portion of Council service delivery, expenditure and consequently, rates </w:t>
      </w:r>
      <w:proofErr w:type="gramStart"/>
      <w:r w:rsidRPr="00F16708">
        <w:rPr>
          <w:sz w:val="24"/>
          <w:szCs w:val="24"/>
          <w:lang w:val="en-US"/>
        </w:rPr>
        <w:t>increases</w:t>
      </w:r>
      <w:proofErr w:type="gramEnd"/>
      <w:r w:rsidRPr="00F16708">
        <w:rPr>
          <w:sz w:val="24"/>
          <w:szCs w:val="24"/>
          <w:lang w:val="en-US"/>
        </w:rPr>
        <w:t xml:space="preserve">. Careful consideration is given to investment </w:t>
      </w:r>
      <w:proofErr w:type="spellStart"/>
      <w:r w:rsidRPr="00F16708">
        <w:rPr>
          <w:sz w:val="24"/>
          <w:szCs w:val="24"/>
          <w:lang w:val="en-US"/>
        </w:rPr>
        <w:t>prioritisation</w:t>
      </w:r>
      <w:proofErr w:type="spellEnd"/>
      <w:r w:rsidRPr="00F16708">
        <w:rPr>
          <w:sz w:val="24"/>
          <w:szCs w:val="24"/>
          <w:lang w:val="en-US"/>
        </w:rPr>
        <w:t xml:space="preserve">. </w:t>
      </w:r>
    </w:p>
    <w:p w14:paraId="57B1B03D" w14:textId="3B9F2D40" w:rsidR="00F16708" w:rsidRPr="00F16708" w:rsidRDefault="00F16708" w:rsidP="00F16708">
      <w:pPr>
        <w:rPr>
          <w:sz w:val="24"/>
          <w:szCs w:val="24"/>
          <w:lang w:val="en-US"/>
        </w:rPr>
      </w:pPr>
      <w:r w:rsidRPr="00F16708">
        <w:rPr>
          <w:sz w:val="24"/>
          <w:szCs w:val="24"/>
          <w:lang w:val="en-US"/>
        </w:rPr>
        <w:t xml:space="preserve">The plan aims to deliver a future water services system that </w:t>
      </w:r>
      <w:proofErr w:type="spellStart"/>
      <w:r w:rsidRPr="00F16708">
        <w:rPr>
          <w:sz w:val="24"/>
          <w:szCs w:val="24"/>
          <w:lang w:val="en-US"/>
        </w:rPr>
        <w:t>emphasises</w:t>
      </w:r>
      <w:proofErr w:type="spellEnd"/>
      <w:r w:rsidRPr="00F16708">
        <w:rPr>
          <w:sz w:val="24"/>
          <w:szCs w:val="24"/>
          <w:lang w:val="en-US"/>
        </w:rPr>
        <w:t xml:space="preserve"> balance between economic, environmental, and water quality outcomes, while enabling local communities and councils to determine how these services are delivered. The Local Government (Water Services Preliminary Arrangements) Act 2024</w:t>
      </w:r>
      <w:r w:rsidR="00C446E6">
        <w:rPr>
          <w:rStyle w:val="FootnoteReference"/>
          <w:sz w:val="24"/>
          <w:szCs w:val="24"/>
          <w:lang w:val="en-US"/>
        </w:rPr>
        <w:footnoteReference w:id="14"/>
      </w:r>
      <w:r w:rsidRPr="00F16708">
        <w:rPr>
          <w:sz w:val="24"/>
          <w:szCs w:val="24"/>
          <w:lang w:val="en-US"/>
        </w:rPr>
        <w:t xml:space="preserve"> was the first legislation to support Local Water Done Well and was enacted in September 2024. </w:t>
      </w:r>
    </w:p>
    <w:p w14:paraId="56C2E9CD" w14:textId="77777777" w:rsidR="00F16708" w:rsidRPr="00F16708" w:rsidRDefault="00F16708" w:rsidP="00F16708">
      <w:pPr>
        <w:rPr>
          <w:sz w:val="24"/>
          <w:szCs w:val="24"/>
          <w:lang w:val="en-US"/>
        </w:rPr>
      </w:pPr>
      <w:r w:rsidRPr="00F16708">
        <w:rPr>
          <w:sz w:val="24"/>
          <w:szCs w:val="24"/>
          <w:lang w:val="en-US"/>
        </w:rPr>
        <w:t xml:space="preserve">The Act set out several transitional provisions, including a requirement for all councils to prepare and submit a Water Services Delivery Plan to government. The plan must describe the current state of a council’s water assets and services as well as the future arrangements for delivery of water services and must demonstrate financial sustainability of water services. The Act provides an opportunity for councils to review current arrangements and to consider whether there are better alternatives to provide sustainable and efficient water services, addressing current challenges and laying the foundation for future improvements. </w:t>
      </w:r>
    </w:p>
    <w:p w14:paraId="0E904EEB" w14:textId="0F7A2AB6" w:rsidR="00F16708" w:rsidRPr="00F16708" w:rsidRDefault="00F16708" w:rsidP="00F16708">
      <w:pPr>
        <w:rPr>
          <w:sz w:val="24"/>
          <w:szCs w:val="24"/>
          <w:lang w:val="en-US"/>
        </w:rPr>
      </w:pPr>
      <w:r w:rsidRPr="00F16708">
        <w:rPr>
          <w:sz w:val="24"/>
          <w:szCs w:val="24"/>
          <w:lang w:val="en-US"/>
        </w:rPr>
        <w:t xml:space="preserve">Council has now completed community consultation on an alternative model to deliver water services and committed to creating a Water Services Council Controlled </w:t>
      </w:r>
      <w:proofErr w:type="spellStart"/>
      <w:r w:rsidRPr="00F16708">
        <w:rPr>
          <w:sz w:val="24"/>
          <w:szCs w:val="24"/>
          <w:lang w:val="en-US"/>
        </w:rPr>
        <w:t>Organisation</w:t>
      </w:r>
      <w:proofErr w:type="spellEnd"/>
      <w:r w:rsidRPr="00F16708">
        <w:rPr>
          <w:sz w:val="24"/>
          <w:szCs w:val="24"/>
          <w:lang w:val="en-US"/>
        </w:rPr>
        <w:t xml:space="preserve"> (WSCCO) fully owned by Council but operating independently with its own specialist board and management</w:t>
      </w:r>
      <w:r w:rsidR="00C446E6">
        <w:rPr>
          <w:rStyle w:val="FootnoteReference"/>
          <w:sz w:val="24"/>
          <w:szCs w:val="24"/>
          <w:lang w:val="en-US"/>
        </w:rPr>
        <w:footnoteReference w:id="15"/>
      </w:r>
      <w:r w:rsidRPr="00F16708">
        <w:rPr>
          <w:sz w:val="24"/>
          <w:szCs w:val="24"/>
          <w:lang w:val="en-US"/>
        </w:rPr>
        <w:t xml:space="preserve">. </w:t>
      </w:r>
    </w:p>
    <w:p w14:paraId="513040FF" w14:textId="77777777" w:rsidR="00F16708" w:rsidRPr="00F16708" w:rsidRDefault="00F16708" w:rsidP="00F16708">
      <w:pPr>
        <w:rPr>
          <w:sz w:val="24"/>
          <w:szCs w:val="24"/>
          <w:lang w:val="en-US"/>
        </w:rPr>
      </w:pPr>
      <w:r w:rsidRPr="00F16708">
        <w:rPr>
          <w:sz w:val="24"/>
          <w:szCs w:val="24"/>
          <w:lang w:val="en-US"/>
        </w:rPr>
        <w:t xml:space="preserve">Thank you to everyone who has taken the time to get informed and participate in this significant decision for Council and the community. The final Water Services Delivery Plan was approved by Council on 26 August, for submission to the Department of Internal Affairs by 3 September. </w:t>
      </w:r>
    </w:p>
    <w:p w14:paraId="300B8009" w14:textId="387751B8" w:rsidR="00F16708" w:rsidRPr="00F16708" w:rsidRDefault="00F16708" w:rsidP="00E74095">
      <w:pPr>
        <w:pStyle w:val="Heading2"/>
        <w:rPr>
          <w:lang w:val="en-US"/>
        </w:rPr>
      </w:pPr>
      <w:bookmarkStart w:id="9" w:name="_Toc211422622"/>
      <w:r w:rsidRPr="00F16708">
        <w:rPr>
          <w:lang w:val="en-US"/>
        </w:rPr>
        <w:t>Seeking alternative forms of funding</w:t>
      </w:r>
      <w:bookmarkEnd w:id="9"/>
    </w:p>
    <w:p w14:paraId="443BA83E" w14:textId="5D63F8E0" w:rsidR="00F16708" w:rsidRPr="00F16708" w:rsidRDefault="00F16708" w:rsidP="00F16708">
      <w:pPr>
        <w:rPr>
          <w:sz w:val="24"/>
          <w:szCs w:val="24"/>
          <w:lang w:val="en-US"/>
        </w:rPr>
      </w:pPr>
      <w:r w:rsidRPr="00F16708">
        <w:rPr>
          <w:sz w:val="24"/>
          <w:szCs w:val="24"/>
          <w:lang w:val="en-US"/>
        </w:rPr>
        <w:t>In the LTP, Council was clear in its commitment to seek alternative forms of funding to help ease the burden of investment on local ratepayers and residents. Considering disposal of surplus assets contributes to this intent. In February 2025, Council confirmed the sale of the last remaining 9.5ha block of Commonage land off Vancouver Drive in Queenstown</w:t>
      </w:r>
      <w:r w:rsidR="007242A5">
        <w:rPr>
          <w:rStyle w:val="FootnoteReference"/>
          <w:sz w:val="24"/>
          <w:szCs w:val="24"/>
          <w:lang w:val="en-US"/>
        </w:rPr>
        <w:footnoteReference w:id="16"/>
      </w:r>
      <w:r w:rsidRPr="00F16708">
        <w:rPr>
          <w:sz w:val="24"/>
          <w:szCs w:val="24"/>
          <w:lang w:val="en-US"/>
        </w:rPr>
        <w:t xml:space="preserve">. The land is intended for residential development and was vested </w:t>
      </w:r>
      <w:r w:rsidRPr="00F16708">
        <w:rPr>
          <w:sz w:val="24"/>
          <w:szCs w:val="24"/>
          <w:lang w:val="en-US"/>
        </w:rPr>
        <w:lastRenderedPageBreak/>
        <w:t xml:space="preserve">in Council by government in 1971. Less than two years ago this property was valued at between $25-29M and successfully sold for $33M. </w:t>
      </w:r>
    </w:p>
    <w:p w14:paraId="3FB23D99" w14:textId="7B23D49A" w:rsidR="00F16708" w:rsidRPr="00F16708" w:rsidRDefault="00F16708" w:rsidP="00F16708">
      <w:pPr>
        <w:rPr>
          <w:sz w:val="24"/>
          <w:szCs w:val="24"/>
          <w:lang w:val="en-US"/>
        </w:rPr>
      </w:pPr>
      <w:r w:rsidRPr="00F16708">
        <w:rPr>
          <w:sz w:val="24"/>
          <w:szCs w:val="24"/>
          <w:lang w:val="en-US"/>
        </w:rPr>
        <w:t>Central Government has also introduced a new ‘Regional Deal’ framework</w:t>
      </w:r>
      <w:r w:rsidR="007242A5">
        <w:rPr>
          <w:rStyle w:val="FootnoteReference"/>
          <w:sz w:val="24"/>
          <w:szCs w:val="24"/>
          <w:lang w:val="en-US"/>
        </w:rPr>
        <w:footnoteReference w:id="17"/>
      </w:r>
      <w:r w:rsidRPr="00F16708">
        <w:rPr>
          <w:sz w:val="24"/>
          <w:szCs w:val="24"/>
          <w:lang w:val="en-US"/>
        </w:rPr>
        <w:t xml:space="preserve"> which Council actively pursued in partnership with Central Otago District Council (CODC) and Otago Regional Council (ORC). The partnership has been advised that it is one of three successful applications and is progressing through the negotiation phase having set up a joint committee between QLDC, CODC and ORC to manage this</w:t>
      </w:r>
      <w:r w:rsidR="007242A5">
        <w:rPr>
          <w:rStyle w:val="FootnoteReference"/>
          <w:sz w:val="24"/>
          <w:szCs w:val="24"/>
          <w:lang w:val="en-US"/>
        </w:rPr>
        <w:footnoteReference w:id="18"/>
      </w:r>
      <w:r w:rsidRPr="00F16708">
        <w:rPr>
          <w:sz w:val="24"/>
          <w:szCs w:val="24"/>
          <w:lang w:val="en-US"/>
        </w:rPr>
        <w:t xml:space="preserve">. The proposal reflects a collective vision for growth that builds on the region’s dominant tourism and viticultural sectors, </w:t>
      </w:r>
      <w:proofErr w:type="spellStart"/>
      <w:r w:rsidRPr="00F16708">
        <w:rPr>
          <w:sz w:val="24"/>
          <w:szCs w:val="24"/>
          <w:lang w:val="en-US"/>
        </w:rPr>
        <w:t>maximises</w:t>
      </w:r>
      <w:proofErr w:type="spellEnd"/>
      <w:r w:rsidRPr="00F16708">
        <w:rPr>
          <w:sz w:val="24"/>
          <w:szCs w:val="24"/>
          <w:lang w:val="en-US"/>
        </w:rPr>
        <w:t xml:space="preserve"> investment and visitation for New Zealand, and ensures the region remains an attractive and </w:t>
      </w:r>
      <w:proofErr w:type="spellStart"/>
      <w:r w:rsidRPr="00F16708">
        <w:rPr>
          <w:sz w:val="24"/>
          <w:szCs w:val="24"/>
          <w:lang w:val="en-US"/>
        </w:rPr>
        <w:t>liveable</w:t>
      </w:r>
      <w:proofErr w:type="spellEnd"/>
      <w:r w:rsidRPr="00F16708">
        <w:rPr>
          <w:sz w:val="24"/>
          <w:szCs w:val="24"/>
          <w:lang w:val="en-US"/>
        </w:rPr>
        <w:t xml:space="preserve"> destination. </w:t>
      </w:r>
    </w:p>
    <w:p w14:paraId="33F1DFB7" w14:textId="77777777" w:rsidR="00F16708" w:rsidRPr="00F16708" w:rsidRDefault="00F16708" w:rsidP="00F16708">
      <w:pPr>
        <w:rPr>
          <w:sz w:val="24"/>
          <w:szCs w:val="24"/>
          <w:lang w:val="en-US"/>
        </w:rPr>
      </w:pPr>
      <w:r w:rsidRPr="00F16708">
        <w:rPr>
          <w:sz w:val="24"/>
          <w:szCs w:val="24"/>
          <w:lang w:val="en-US"/>
        </w:rPr>
        <w:t xml:space="preserve">The five packages of work in the proposal to support economic growth are: Leverage the visitor economy to boost economic growth; Transform the transport system; Electrify Otago Central Lakes; Leverage private investment to deliver public health services; Share the value created from growth. Council looks forward to sharing more information on the outcome of the negotiations. If finally approved, the proposed regional deal for Central Otago and Queenstown Lakes would provide a path to support continued economic growth that also addresses the growth pressures the community has been experiencing for some time. </w:t>
      </w:r>
    </w:p>
    <w:p w14:paraId="61202DBF" w14:textId="77777777" w:rsidR="00F16708" w:rsidRPr="00F16708" w:rsidRDefault="00F16708" w:rsidP="00F16708">
      <w:pPr>
        <w:rPr>
          <w:sz w:val="24"/>
          <w:szCs w:val="24"/>
          <w:lang w:val="en-US"/>
        </w:rPr>
      </w:pPr>
      <w:r w:rsidRPr="00F16708">
        <w:rPr>
          <w:sz w:val="24"/>
          <w:szCs w:val="24"/>
          <w:lang w:val="en-US"/>
        </w:rPr>
        <w:t xml:space="preserve">During July 2025 Council was advised it had maintained its existing credit rating of AA- despite the challenging economic headwinds. This is positive because many other Councils have been downgraded by Standard and </w:t>
      </w:r>
      <w:proofErr w:type="spellStart"/>
      <w:r w:rsidRPr="00F16708">
        <w:rPr>
          <w:sz w:val="24"/>
          <w:szCs w:val="24"/>
          <w:lang w:val="en-US"/>
        </w:rPr>
        <w:t>Poors</w:t>
      </w:r>
      <w:proofErr w:type="spellEnd"/>
      <w:r w:rsidRPr="00F16708">
        <w:rPr>
          <w:sz w:val="24"/>
          <w:szCs w:val="24"/>
          <w:lang w:val="en-US"/>
        </w:rPr>
        <w:t xml:space="preserve"> rating agency and any downgrade could affect the Council cost of interest. Council borrows from the Local Government Funding Authority (LGFA</w:t>
      </w:r>
      <w:proofErr w:type="gramStart"/>
      <w:r w:rsidRPr="00F16708">
        <w:rPr>
          <w:sz w:val="24"/>
          <w:szCs w:val="24"/>
          <w:lang w:val="en-US"/>
        </w:rPr>
        <w:t>)</w:t>
      </w:r>
      <w:proofErr w:type="gramEnd"/>
      <w:r w:rsidRPr="00F16708">
        <w:rPr>
          <w:sz w:val="24"/>
          <w:szCs w:val="24"/>
          <w:lang w:val="en-US"/>
        </w:rPr>
        <w:t xml:space="preserve"> and they have indicated that they could potentially enable an increase </w:t>
      </w:r>
      <w:proofErr w:type="gramStart"/>
      <w:r w:rsidRPr="00F16708">
        <w:rPr>
          <w:sz w:val="24"/>
          <w:szCs w:val="24"/>
          <w:lang w:val="en-US"/>
        </w:rPr>
        <w:t>to</w:t>
      </w:r>
      <w:proofErr w:type="gramEnd"/>
      <w:r w:rsidRPr="00F16708">
        <w:rPr>
          <w:sz w:val="24"/>
          <w:szCs w:val="24"/>
          <w:lang w:val="en-US"/>
        </w:rPr>
        <w:t xml:space="preserve"> Council borrowing capacity from 280% to 350% (Revenue/Borrowing), along with a small number of other high-growth councils.</w:t>
      </w:r>
    </w:p>
    <w:p w14:paraId="653A90DA" w14:textId="4DC63A0B" w:rsidR="00F16708" w:rsidRPr="00F16708" w:rsidRDefault="00F16708" w:rsidP="00E74095">
      <w:pPr>
        <w:pStyle w:val="Heading2"/>
        <w:rPr>
          <w:lang w:val="en-US"/>
        </w:rPr>
      </w:pPr>
      <w:bookmarkStart w:id="10" w:name="_Toc211422623"/>
      <w:r w:rsidRPr="00F16708">
        <w:rPr>
          <w:lang w:val="en-US"/>
        </w:rPr>
        <w:t>Supporting community growth and wellbeing remains a priority</w:t>
      </w:r>
      <w:bookmarkEnd w:id="10"/>
    </w:p>
    <w:p w14:paraId="12D3E06D" w14:textId="77777777" w:rsidR="00F16708" w:rsidRPr="00F16708" w:rsidRDefault="00F16708" w:rsidP="00F16708">
      <w:pPr>
        <w:rPr>
          <w:sz w:val="24"/>
          <w:szCs w:val="24"/>
          <w:lang w:val="en-US"/>
        </w:rPr>
      </w:pPr>
      <w:r w:rsidRPr="00F16708">
        <w:rPr>
          <w:sz w:val="24"/>
          <w:szCs w:val="24"/>
          <w:lang w:val="en-US"/>
        </w:rPr>
        <w:t xml:space="preserve">Residential growth in the district has continued to outpace the rest of the country and visitor numbers are now beyond pre-COVID levels. Providing the services and infrastructure to respond to that growth and maintain the wellbeing of our communities remains a priority challenge. Whether that’s capacity on our roads, maintaining a high-quality drinking water supply, collection and processing of waste and recycling, or delivering community sports, recreational, library and parks facilities for essential social wellbeing. As the district grows, so do the needs and expectations of our communities. Housing capacity and access to affordable homes also remains a pressure for the district and Council has continued to champion the needs of locals through a variety of channels. </w:t>
      </w:r>
    </w:p>
    <w:p w14:paraId="65557848" w14:textId="5E6816BE" w:rsidR="00F16708" w:rsidRPr="00F16708" w:rsidRDefault="00F16708" w:rsidP="00F16708">
      <w:pPr>
        <w:rPr>
          <w:sz w:val="24"/>
          <w:szCs w:val="24"/>
          <w:lang w:val="en-US"/>
        </w:rPr>
      </w:pPr>
      <w:r w:rsidRPr="00F16708">
        <w:rPr>
          <w:sz w:val="24"/>
          <w:szCs w:val="24"/>
          <w:lang w:val="en-US"/>
        </w:rPr>
        <w:lastRenderedPageBreak/>
        <w:t xml:space="preserve">Alongside housing, the challenge of the district’s largely singular economy and the risk that poses has been a focus for QLDC. This focus has been underpinned by </w:t>
      </w:r>
      <w:proofErr w:type="gramStart"/>
      <w:r w:rsidRPr="00F16708">
        <w:rPr>
          <w:sz w:val="24"/>
          <w:szCs w:val="24"/>
          <w:lang w:val="en-US"/>
        </w:rPr>
        <w:t>Quality of Life</w:t>
      </w:r>
      <w:proofErr w:type="gramEnd"/>
      <w:r w:rsidRPr="00F16708">
        <w:rPr>
          <w:sz w:val="24"/>
          <w:szCs w:val="24"/>
          <w:lang w:val="en-US"/>
        </w:rPr>
        <w:t xml:space="preserve"> survey results showing that around half of the district’s residents do not see a future for themselves locally due to a lack of career choices and higher pay opportunities</w:t>
      </w:r>
      <w:r w:rsidR="007242A5">
        <w:rPr>
          <w:rStyle w:val="FootnoteReference"/>
          <w:sz w:val="24"/>
          <w:szCs w:val="24"/>
          <w:lang w:val="en-US"/>
        </w:rPr>
        <w:footnoteReference w:id="19"/>
      </w:r>
      <w:r w:rsidRPr="00F16708">
        <w:rPr>
          <w:sz w:val="24"/>
          <w:szCs w:val="24"/>
          <w:lang w:val="en-US"/>
        </w:rPr>
        <w:t xml:space="preserve">. </w:t>
      </w:r>
    </w:p>
    <w:p w14:paraId="1AF45553" w14:textId="2CE0332D" w:rsidR="00F16708" w:rsidRPr="00F16708" w:rsidRDefault="00F16708" w:rsidP="00F16708">
      <w:pPr>
        <w:rPr>
          <w:sz w:val="24"/>
          <w:szCs w:val="24"/>
          <w:lang w:val="en-US"/>
        </w:rPr>
      </w:pPr>
      <w:r w:rsidRPr="00F16708">
        <w:rPr>
          <w:sz w:val="24"/>
          <w:szCs w:val="24"/>
          <w:lang w:val="en-US"/>
        </w:rPr>
        <w:t>Council’s Economic Futures</w:t>
      </w:r>
      <w:r w:rsidR="007242A5">
        <w:rPr>
          <w:rStyle w:val="FootnoteReference"/>
          <w:sz w:val="24"/>
          <w:szCs w:val="24"/>
          <w:lang w:val="en-US"/>
        </w:rPr>
        <w:footnoteReference w:id="20"/>
      </w:r>
      <w:r w:rsidRPr="00F16708">
        <w:rPr>
          <w:sz w:val="24"/>
          <w:szCs w:val="24"/>
          <w:lang w:val="en-US"/>
        </w:rPr>
        <w:t xml:space="preserve"> team works to diversify the local economy and encourage higher value jobs. The aim of this is to provide our residents with access to better incomes and more work choices outside of the dominant tourism and </w:t>
      </w:r>
      <w:r w:rsidR="007E007B">
        <w:rPr>
          <w:sz w:val="24"/>
          <w:szCs w:val="24"/>
          <w:lang w:val="en-US"/>
        </w:rPr>
        <w:t>c</w:t>
      </w:r>
      <w:r w:rsidRPr="00F16708">
        <w:rPr>
          <w:sz w:val="24"/>
          <w:szCs w:val="24"/>
          <w:lang w:val="en-US"/>
        </w:rPr>
        <w:t>onstruction industries. In August 2024, the Council endorsed the Queenstown Lakes Economic Diversification Plan</w:t>
      </w:r>
      <w:r w:rsidR="007242A5">
        <w:rPr>
          <w:rStyle w:val="FootnoteReference"/>
          <w:sz w:val="24"/>
          <w:szCs w:val="24"/>
          <w:lang w:val="en-US"/>
        </w:rPr>
        <w:footnoteReference w:id="21"/>
      </w:r>
      <w:r w:rsidRPr="00F16708">
        <w:rPr>
          <w:sz w:val="24"/>
          <w:szCs w:val="24"/>
          <w:lang w:val="en-US"/>
        </w:rPr>
        <w:t xml:space="preserve">. The plan — titled </w:t>
      </w:r>
      <w:proofErr w:type="gramStart"/>
      <w:r w:rsidRPr="00F16708">
        <w:rPr>
          <w:sz w:val="24"/>
          <w:szCs w:val="24"/>
          <w:lang w:val="en-US"/>
        </w:rPr>
        <w:t>New</w:t>
      </w:r>
      <w:proofErr w:type="gramEnd"/>
      <w:r w:rsidRPr="00F16708">
        <w:rPr>
          <w:sz w:val="24"/>
          <w:szCs w:val="24"/>
          <w:lang w:val="en-US"/>
        </w:rPr>
        <w:t xml:space="preserve"> pathways to a thriving future | </w:t>
      </w:r>
      <w:proofErr w:type="spellStart"/>
      <w:r w:rsidRPr="00F16708">
        <w:rPr>
          <w:sz w:val="24"/>
          <w:szCs w:val="24"/>
          <w:lang w:val="en-US"/>
        </w:rPr>
        <w:t>Kā</w:t>
      </w:r>
      <w:proofErr w:type="spellEnd"/>
      <w:r w:rsidRPr="00F16708">
        <w:rPr>
          <w:sz w:val="24"/>
          <w:szCs w:val="24"/>
          <w:lang w:val="en-US"/>
        </w:rPr>
        <w:t xml:space="preserve"> </w:t>
      </w:r>
      <w:proofErr w:type="spellStart"/>
      <w:r w:rsidRPr="00F16708">
        <w:rPr>
          <w:sz w:val="24"/>
          <w:szCs w:val="24"/>
          <w:lang w:val="en-US"/>
        </w:rPr>
        <w:t>ara</w:t>
      </w:r>
      <w:proofErr w:type="spellEnd"/>
      <w:r w:rsidRPr="00F16708">
        <w:rPr>
          <w:sz w:val="24"/>
          <w:szCs w:val="24"/>
          <w:lang w:val="en-US"/>
        </w:rPr>
        <w:t xml:space="preserve"> </w:t>
      </w:r>
      <w:proofErr w:type="spellStart"/>
      <w:r w:rsidRPr="00F16708">
        <w:rPr>
          <w:sz w:val="24"/>
          <w:szCs w:val="24"/>
          <w:lang w:val="en-US"/>
        </w:rPr>
        <w:t>hou</w:t>
      </w:r>
      <w:proofErr w:type="spellEnd"/>
      <w:r w:rsidRPr="00F16708">
        <w:rPr>
          <w:sz w:val="24"/>
          <w:szCs w:val="24"/>
          <w:lang w:val="en-US"/>
        </w:rPr>
        <w:t xml:space="preserve"> ki </w:t>
      </w:r>
      <w:proofErr w:type="spellStart"/>
      <w:r w:rsidRPr="00F16708">
        <w:rPr>
          <w:sz w:val="24"/>
          <w:szCs w:val="24"/>
          <w:lang w:val="en-US"/>
        </w:rPr>
        <w:t>te</w:t>
      </w:r>
      <w:proofErr w:type="spellEnd"/>
      <w:r w:rsidRPr="00F16708">
        <w:rPr>
          <w:sz w:val="24"/>
          <w:szCs w:val="24"/>
          <w:lang w:val="en-US"/>
        </w:rPr>
        <w:t xml:space="preserve"> </w:t>
      </w:r>
      <w:proofErr w:type="spellStart"/>
      <w:r w:rsidRPr="00F16708">
        <w:rPr>
          <w:sz w:val="24"/>
          <w:szCs w:val="24"/>
          <w:lang w:val="en-US"/>
        </w:rPr>
        <w:t>anamata</w:t>
      </w:r>
      <w:proofErr w:type="spellEnd"/>
      <w:r w:rsidRPr="00F16708">
        <w:rPr>
          <w:sz w:val="24"/>
          <w:szCs w:val="24"/>
          <w:lang w:val="en-US"/>
        </w:rPr>
        <w:t xml:space="preserve"> </w:t>
      </w:r>
      <w:proofErr w:type="spellStart"/>
      <w:r w:rsidRPr="00F16708">
        <w:rPr>
          <w:sz w:val="24"/>
          <w:szCs w:val="24"/>
          <w:lang w:val="en-US"/>
        </w:rPr>
        <w:t>tōnui</w:t>
      </w:r>
      <w:proofErr w:type="spellEnd"/>
      <w:r w:rsidRPr="00F16708">
        <w:rPr>
          <w:sz w:val="24"/>
          <w:szCs w:val="24"/>
          <w:lang w:val="en-US"/>
        </w:rPr>
        <w:t xml:space="preserve"> — was designed to foster a wider range of industries and career opportunities across the district. Council’s endorsement added to the support of 18 other local </w:t>
      </w:r>
      <w:proofErr w:type="spellStart"/>
      <w:r w:rsidRPr="00F16708">
        <w:rPr>
          <w:sz w:val="24"/>
          <w:szCs w:val="24"/>
          <w:lang w:val="en-US"/>
        </w:rPr>
        <w:t>organisations</w:t>
      </w:r>
      <w:proofErr w:type="spellEnd"/>
      <w:r w:rsidRPr="00F16708">
        <w:rPr>
          <w:sz w:val="24"/>
          <w:szCs w:val="24"/>
          <w:lang w:val="en-US"/>
        </w:rPr>
        <w:t xml:space="preserve"> that committed to the plan. The plan gives an overview of diversification challenges and opportunities, the vision and guiding principles, as well as outlining the strategic pillars, objectives, and projects, alongside foundations for success over the coming years.</w:t>
      </w:r>
    </w:p>
    <w:p w14:paraId="6DC0841D" w14:textId="17EE427D" w:rsidR="00F16708" w:rsidRPr="00F16708" w:rsidRDefault="00F16708" w:rsidP="00B22501">
      <w:pPr>
        <w:pStyle w:val="Heading2"/>
        <w:rPr>
          <w:lang w:val="en-US"/>
        </w:rPr>
      </w:pPr>
      <w:bookmarkStart w:id="11" w:name="_Toc211422624"/>
      <w:r w:rsidRPr="00F16708">
        <w:rPr>
          <w:lang w:val="en-US"/>
        </w:rPr>
        <w:t>Partnering to deliver climate and biodiversity action</w:t>
      </w:r>
      <w:bookmarkEnd w:id="11"/>
    </w:p>
    <w:p w14:paraId="0D993D9B" w14:textId="7662CC1F" w:rsidR="00F16708" w:rsidRPr="00F16708" w:rsidRDefault="00F16708" w:rsidP="00F16708">
      <w:pPr>
        <w:rPr>
          <w:sz w:val="24"/>
          <w:szCs w:val="24"/>
          <w:lang w:val="en-US"/>
        </w:rPr>
      </w:pPr>
      <w:r w:rsidRPr="00F16708">
        <w:rPr>
          <w:sz w:val="24"/>
          <w:szCs w:val="24"/>
          <w:lang w:val="en-US"/>
        </w:rPr>
        <w:t xml:space="preserve">Managing our district’s impact on the climate and local biodiversity has continued to be a strategic priority in the last year. A </w:t>
      </w:r>
      <w:proofErr w:type="gramStart"/>
      <w:r w:rsidRPr="00F16708">
        <w:rPr>
          <w:sz w:val="24"/>
          <w:szCs w:val="24"/>
          <w:lang w:val="en-US"/>
        </w:rPr>
        <w:t>guiding</w:t>
      </w:r>
      <w:proofErr w:type="gramEnd"/>
      <w:r w:rsidRPr="00F16708">
        <w:rPr>
          <w:sz w:val="24"/>
          <w:szCs w:val="24"/>
          <w:lang w:val="en-US"/>
        </w:rPr>
        <w:t xml:space="preserve"> document for this </w:t>
      </w:r>
      <w:proofErr w:type="spellStart"/>
      <w:r w:rsidRPr="00F16708">
        <w:rPr>
          <w:sz w:val="24"/>
          <w:szCs w:val="24"/>
          <w:lang w:val="en-US"/>
        </w:rPr>
        <w:t>organisational</w:t>
      </w:r>
      <w:proofErr w:type="spellEnd"/>
      <w:r w:rsidRPr="00F16708">
        <w:rPr>
          <w:sz w:val="24"/>
          <w:szCs w:val="24"/>
          <w:lang w:val="en-US"/>
        </w:rPr>
        <w:t xml:space="preserve"> commitment remains the Climate and Biodiversity Plan</w:t>
      </w:r>
      <w:r w:rsidR="007242A5">
        <w:rPr>
          <w:rStyle w:val="FootnoteReference"/>
          <w:sz w:val="24"/>
          <w:szCs w:val="24"/>
          <w:lang w:val="en-US"/>
        </w:rPr>
        <w:footnoteReference w:id="22"/>
      </w:r>
      <w:r w:rsidRPr="00F16708">
        <w:rPr>
          <w:sz w:val="24"/>
          <w:szCs w:val="24"/>
          <w:lang w:val="en-US"/>
        </w:rPr>
        <w:t xml:space="preserve">. Council’s commitment to the plan can be seen through action such as a decision in the LTP to bring forward funding to invest in community and sports facilities in Queenstown and </w:t>
      </w:r>
      <w:proofErr w:type="spellStart"/>
      <w:r w:rsidRPr="00F16708">
        <w:rPr>
          <w:sz w:val="24"/>
          <w:szCs w:val="24"/>
          <w:lang w:val="en-US"/>
        </w:rPr>
        <w:t>Wānaka</w:t>
      </w:r>
      <w:proofErr w:type="spellEnd"/>
      <w:r w:rsidRPr="00F16708">
        <w:rPr>
          <w:sz w:val="24"/>
          <w:szCs w:val="24"/>
          <w:lang w:val="en-US"/>
        </w:rPr>
        <w:t>, which includes clean energy upgrades at aquatic facilities (which aligns with action 1.16 in the Climate and Biodiversity Plan). Currently our aquatic facilities are powered by LPG. Converting to a renewable energy source is more efficient and offers lower running costs over the long term, emitting little to no greenhouse gases or pollutants into the air.</w:t>
      </w:r>
    </w:p>
    <w:p w14:paraId="4ADD1A88" w14:textId="4E319013" w:rsidR="00F16708" w:rsidRPr="00F16708" w:rsidRDefault="00F16708" w:rsidP="00F16708">
      <w:pPr>
        <w:rPr>
          <w:sz w:val="24"/>
          <w:szCs w:val="24"/>
          <w:lang w:val="en-US"/>
        </w:rPr>
      </w:pPr>
      <w:r w:rsidRPr="00F16708">
        <w:rPr>
          <w:sz w:val="24"/>
          <w:szCs w:val="24"/>
          <w:lang w:val="en-US"/>
        </w:rPr>
        <w:t>At the time of preparing this report the 2025-2028 iteration of the plan had been subject to community feedback and adopted by Council in July 2025</w:t>
      </w:r>
      <w:r w:rsidR="007242A5">
        <w:rPr>
          <w:rStyle w:val="FootnoteReference"/>
          <w:sz w:val="24"/>
          <w:szCs w:val="24"/>
          <w:lang w:val="en-US"/>
        </w:rPr>
        <w:footnoteReference w:id="23"/>
      </w:r>
      <w:r w:rsidRPr="00F16708">
        <w:rPr>
          <w:sz w:val="24"/>
          <w:szCs w:val="24"/>
          <w:lang w:val="en-US"/>
        </w:rPr>
        <w:t xml:space="preserve">. The plan includes a total of 51 actions across these seven outcome areas. The actions are a mixture of Council led, or partnership driven, and either new or continuing projects based on work that has started during the 2022- 2025 plan. All actions will be funded from budgets that have been set in the LTP. </w:t>
      </w:r>
    </w:p>
    <w:p w14:paraId="1F4FA83A" w14:textId="6272E11A" w:rsidR="00F16708" w:rsidRPr="00F16708" w:rsidRDefault="00F16708" w:rsidP="00F16708">
      <w:pPr>
        <w:rPr>
          <w:sz w:val="24"/>
          <w:szCs w:val="24"/>
          <w:lang w:val="en-US"/>
        </w:rPr>
      </w:pPr>
      <w:r w:rsidRPr="00F16708">
        <w:rPr>
          <w:sz w:val="24"/>
          <w:szCs w:val="24"/>
          <w:lang w:val="en-US"/>
        </w:rPr>
        <w:t xml:space="preserve">Stewardship of some of Aotearoa New Zealand’s most iconic landscapes is a key responsibility of this Council. Planning for the preservation of local reserves whilst ensuring they remain inviting and valued spaces is a long but vital process. In April 2025, Council approved and adopted a reserve management plan for Mount Iron and Little Mount Iron in </w:t>
      </w:r>
      <w:proofErr w:type="spellStart"/>
      <w:r w:rsidRPr="00F16708">
        <w:rPr>
          <w:sz w:val="24"/>
          <w:szCs w:val="24"/>
          <w:lang w:val="en-US"/>
        </w:rPr>
        <w:t>Wānaka</w:t>
      </w:r>
      <w:proofErr w:type="spellEnd"/>
      <w:r w:rsidRPr="00F16708">
        <w:rPr>
          <w:sz w:val="24"/>
          <w:szCs w:val="24"/>
          <w:lang w:val="en-US"/>
        </w:rPr>
        <w:t xml:space="preserve"> guiding the reserve’s long-term future and holding the land </w:t>
      </w:r>
      <w:r w:rsidRPr="00F16708">
        <w:rPr>
          <w:sz w:val="24"/>
          <w:szCs w:val="24"/>
          <w:lang w:val="en-US"/>
        </w:rPr>
        <w:lastRenderedPageBreak/>
        <w:t>as public reserve in perpetuity on the community’s behalf</w:t>
      </w:r>
      <w:r w:rsidR="007242A5">
        <w:rPr>
          <w:rStyle w:val="FootnoteReference"/>
          <w:sz w:val="24"/>
          <w:szCs w:val="24"/>
          <w:lang w:val="en-US"/>
        </w:rPr>
        <w:footnoteReference w:id="24"/>
      </w:r>
      <w:r w:rsidRPr="00F16708">
        <w:rPr>
          <w:sz w:val="24"/>
          <w:szCs w:val="24"/>
          <w:lang w:val="en-US"/>
        </w:rPr>
        <w:t xml:space="preserve">. This plan provides a community led vision for how Mount Iron Reserve can be experienced and valued, now and into the future. Thank you to everyone who participated in this important work, bringing the community together to protect its </w:t>
      </w:r>
      <w:proofErr w:type="gramStart"/>
      <w:r w:rsidRPr="00F16708">
        <w:rPr>
          <w:sz w:val="24"/>
          <w:szCs w:val="24"/>
          <w:lang w:val="en-US"/>
        </w:rPr>
        <w:t>recreation</w:t>
      </w:r>
      <w:proofErr w:type="gramEnd"/>
      <w:r w:rsidRPr="00F16708">
        <w:rPr>
          <w:sz w:val="24"/>
          <w:szCs w:val="24"/>
          <w:lang w:val="en-US"/>
        </w:rPr>
        <w:t xml:space="preserve">, scenic, cultural, ecological and geological values. </w:t>
      </w:r>
    </w:p>
    <w:p w14:paraId="4DF58439" w14:textId="36F524A9" w:rsidR="00F16708" w:rsidRPr="00F16708" w:rsidRDefault="00F16708" w:rsidP="00F16708">
      <w:pPr>
        <w:rPr>
          <w:sz w:val="24"/>
          <w:szCs w:val="24"/>
          <w:lang w:val="en-US"/>
        </w:rPr>
      </w:pPr>
      <w:r w:rsidRPr="00F16708">
        <w:rPr>
          <w:sz w:val="24"/>
          <w:szCs w:val="24"/>
          <w:lang w:val="en-US"/>
        </w:rPr>
        <w:t>Project Tohu</w:t>
      </w:r>
      <w:r w:rsidR="007242A5">
        <w:rPr>
          <w:rStyle w:val="FootnoteReference"/>
          <w:sz w:val="24"/>
          <w:szCs w:val="24"/>
          <w:lang w:val="en-US"/>
        </w:rPr>
        <w:footnoteReference w:id="25"/>
      </w:r>
      <w:r w:rsidRPr="00F16708">
        <w:rPr>
          <w:sz w:val="24"/>
          <w:szCs w:val="24"/>
          <w:lang w:val="en-US"/>
        </w:rPr>
        <w:t xml:space="preserve"> is one of the largest revegetation </w:t>
      </w:r>
      <w:proofErr w:type="spellStart"/>
      <w:r w:rsidRPr="00F16708">
        <w:rPr>
          <w:sz w:val="24"/>
          <w:szCs w:val="24"/>
          <w:lang w:val="en-US"/>
        </w:rPr>
        <w:t>programmes</w:t>
      </w:r>
      <w:proofErr w:type="spellEnd"/>
      <w:r w:rsidRPr="00F16708">
        <w:rPr>
          <w:sz w:val="24"/>
          <w:szCs w:val="24"/>
          <w:lang w:val="en-US"/>
        </w:rPr>
        <w:t xml:space="preserve"> currently being undertaken in Aotearoa New Zealand, transitioning from an ex-Douglas fir plantation (exotic species) into indigenous vegetation. In 2024, Council awarded the contract to deliver its aspirational vision to “recloak” Coronet Forest to </w:t>
      </w:r>
      <w:proofErr w:type="spellStart"/>
      <w:r w:rsidRPr="00F16708">
        <w:rPr>
          <w:sz w:val="24"/>
          <w:szCs w:val="24"/>
          <w:lang w:val="en-US"/>
        </w:rPr>
        <w:t>Te</w:t>
      </w:r>
      <w:proofErr w:type="spellEnd"/>
      <w:r w:rsidRPr="00F16708">
        <w:rPr>
          <w:sz w:val="24"/>
          <w:szCs w:val="24"/>
          <w:lang w:val="en-US"/>
        </w:rPr>
        <w:t xml:space="preserve"> </w:t>
      </w:r>
      <w:proofErr w:type="spellStart"/>
      <w:r w:rsidRPr="00F16708">
        <w:rPr>
          <w:sz w:val="24"/>
          <w:szCs w:val="24"/>
          <w:lang w:val="en-US"/>
        </w:rPr>
        <w:t>Tapu</w:t>
      </w:r>
      <w:proofErr w:type="spellEnd"/>
      <w:r w:rsidRPr="00F16708">
        <w:rPr>
          <w:sz w:val="24"/>
          <w:szCs w:val="24"/>
          <w:lang w:val="en-US"/>
        </w:rPr>
        <w:t xml:space="preserve"> o Tāne and e3Scientific Limited. The project site covers 200 ha on the south facing slopes of Coronet Peak close to Arrowtown and rises to its highest point of 930m. Project Tohu, led by Council, will plant over 500,000 indigenous species of grasses, scrubs and trees. The first year of delivery has involved site preparation and planning. A seven-</w:t>
      </w:r>
      <w:proofErr w:type="spellStart"/>
      <w:r w:rsidRPr="00F16708">
        <w:rPr>
          <w:sz w:val="24"/>
          <w:szCs w:val="24"/>
          <w:lang w:val="en-US"/>
        </w:rPr>
        <w:t>kilometre</w:t>
      </w:r>
      <w:proofErr w:type="spellEnd"/>
      <w:r w:rsidRPr="00F16708">
        <w:rPr>
          <w:sz w:val="24"/>
          <w:szCs w:val="24"/>
          <w:lang w:val="en-US"/>
        </w:rPr>
        <w:t xml:space="preserve"> fence line has been installed around the perimeter of the site and staged aerial spraying has been carried out to eliminate any established Douglas Fir seedlings. Pest control operations were carried out in March-April 2025 to support autumn planting which will continue over three years. The Coronet Trail Network Plan was adopted by the Council in September 2024. This shows all recreational trails proposed for the area which we’ve been working closely with the Coronet Forest Recreational Working Group to develop. The network plan will be implemented in stages as funding becomes available. Elsewhere in the wider </w:t>
      </w:r>
      <w:proofErr w:type="spellStart"/>
      <w:r w:rsidRPr="00F16708">
        <w:rPr>
          <w:sz w:val="24"/>
          <w:szCs w:val="24"/>
          <w:lang w:val="en-US"/>
        </w:rPr>
        <w:t>Whakatipu</w:t>
      </w:r>
      <w:proofErr w:type="spellEnd"/>
      <w:r w:rsidRPr="00F16708">
        <w:rPr>
          <w:sz w:val="24"/>
          <w:szCs w:val="24"/>
          <w:lang w:val="en-US"/>
        </w:rPr>
        <w:t xml:space="preserve">, the development of reserve management plans progressed to help shape the future of special community destinations such as </w:t>
      </w:r>
      <w:proofErr w:type="spellStart"/>
      <w:r w:rsidRPr="00F16708">
        <w:rPr>
          <w:sz w:val="24"/>
          <w:szCs w:val="24"/>
          <w:lang w:val="en-US"/>
        </w:rPr>
        <w:t>Te</w:t>
      </w:r>
      <w:proofErr w:type="spellEnd"/>
      <w:r w:rsidRPr="00F16708">
        <w:rPr>
          <w:sz w:val="24"/>
          <w:szCs w:val="24"/>
          <w:lang w:val="en-US"/>
        </w:rPr>
        <w:t>-</w:t>
      </w:r>
      <w:proofErr w:type="spellStart"/>
      <w:r w:rsidRPr="00F16708">
        <w:rPr>
          <w:sz w:val="24"/>
          <w:szCs w:val="24"/>
          <w:lang w:val="en-US"/>
        </w:rPr>
        <w:t>Taumata</w:t>
      </w:r>
      <w:proofErr w:type="spellEnd"/>
      <w:r w:rsidRPr="00F16708">
        <w:rPr>
          <w:sz w:val="24"/>
          <w:szCs w:val="24"/>
          <w:lang w:val="en-US"/>
        </w:rPr>
        <w:t>-o-</w:t>
      </w:r>
      <w:proofErr w:type="spellStart"/>
      <w:r w:rsidRPr="00F16708">
        <w:rPr>
          <w:sz w:val="24"/>
          <w:szCs w:val="24"/>
          <w:lang w:val="en-US"/>
        </w:rPr>
        <w:t>Hakitekura</w:t>
      </w:r>
      <w:proofErr w:type="spellEnd"/>
      <w:r w:rsidRPr="00F16708">
        <w:rPr>
          <w:sz w:val="24"/>
          <w:szCs w:val="24"/>
          <w:lang w:val="en-US"/>
        </w:rPr>
        <w:t xml:space="preserve"> Ben Lomond, </w:t>
      </w:r>
      <w:proofErr w:type="spellStart"/>
      <w:r w:rsidRPr="00F16708">
        <w:rPr>
          <w:sz w:val="24"/>
          <w:szCs w:val="24"/>
          <w:lang w:val="en-US"/>
        </w:rPr>
        <w:t>Te</w:t>
      </w:r>
      <w:proofErr w:type="spellEnd"/>
      <w:r w:rsidRPr="00F16708">
        <w:rPr>
          <w:sz w:val="24"/>
          <w:szCs w:val="24"/>
          <w:lang w:val="en-US"/>
        </w:rPr>
        <w:t xml:space="preserve"> Tapunui Queenstown Hill, and Jardine Park. </w:t>
      </w:r>
    </w:p>
    <w:p w14:paraId="325CBA69" w14:textId="16B65EF9" w:rsidR="00F16708" w:rsidRPr="00F16708" w:rsidRDefault="00F16708" w:rsidP="00B22501">
      <w:pPr>
        <w:pStyle w:val="Heading2"/>
        <w:rPr>
          <w:lang w:val="en-US"/>
        </w:rPr>
      </w:pPr>
      <w:bookmarkStart w:id="12" w:name="_Toc211422625"/>
      <w:r w:rsidRPr="00F16708">
        <w:rPr>
          <w:lang w:val="en-US"/>
        </w:rPr>
        <w:t>Making it easier and safer to move around our district</w:t>
      </w:r>
      <w:bookmarkEnd w:id="12"/>
    </w:p>
    <w:p w14:paraId="76AAD90C" w14:textId="1D049C24" w:rsidR="00F16708" w:rsidRPr="00F16708" w:rsidRDefault="00F16708" w:rsidP="00F16708">
      <w:pPr>
        <w:rPr>
          <w:sz w:val="24"/>
          <w:szCs w:val="24"/>
          <w:lang w:val="en-US"/>
        </w:rPr>
      </w:pPr>
      <w:r w:rsidRPr="00F16708">
        <w:rPr>
          <w:sz w:val="24"/>
          <w:szCs w:val="24"/>
          <w:lang w:val="en-US"/>
        </w:rPr>
        <w:t xml:space="preserve">In the Upper Clutha, significant progress has been made on the </w:t>
      </w:r>
      <w:proofErr w:type="spellStart"/>
      <w:r w:rsidRPr="00F16708">
        <w:rPr>
          <w:sz w:val="24"/>
          <w:szCs w:val="24"/>
          <w:lang w:val="en-US"/>
        </w:rPr>
        <w:t>Wānaka</w:t>
      </w:r>
      <w:proofErr w:type="spellEnd"/>
      <w:r w:rsidRPr="00F16708">
        <w:rPr>
          <w:sz w:val="24"/>
          <w:szCs w:val="24"/>
          <w:lang w:val="en-US"/>
        </w:rPr>
        <w:t xml:space="preserve"> Lakefront development</w:t>
      </w:r>
      <w:r w:rsidR="00666CF3">
        <w:rPr>
          <w:rStyle w:val="FootnoteReference"/>
          <w:sz w:val="24"/>
          <w:szCs w:val="24"/>
          <w:lang w:val="en-US"/>
        </w:rPr>
        <w:footnoteReference w:id="26"/>
      </w:r>
      <w:r w:rsidRPr="00F16708">
        <w:rPr>
          <w:sz w:val="24"/>
          <w:szCs w:val="24"/>
          <w:lang w:val="en-US"/>
        </w:rPr>
        <w:t xml:space="preserve">. The latest stage completed was in November 2024, improving safety and existing active travel connections on the lakefront between </w:t>
      </w:r>
      <w:proofErr w:type="spellStart"/>
      <w:r w:rsidRPr="00F16708">
        <w:rPr>
          <w:sz w:val="24"/>
          <w:szCs w:val="24"/>
          <w:lang w:val="en-US"/>
        </w:rPr>
        <w:t>Wānaka’s</w:t>
      </w:r>
      <w:proofErr w:type="spellEnd"/>
      <w:r w:rsidRPr="00F16708">
        <w:rPr>
          <w:sz w:val="24"/>
          <w:szCs w:val="24"/>
          <w:lang w:val="en-US"/>
        </w:rPr>
        <w:t xml:space="preserve"> marina and yacht club. New sections of the 2.5km shared pathway </w:t>
      </w:r>
      <w:proofErr w:type="spellStart"/>
      <w:r w:rsidRPr="00F16708">
        <w:rPr>
          <w:sz w:val="24"/>
          <w:szCs w:val="24"/>
          <w:lang w:val="en-US"/>
        </w:rPr>
        <w:t>Te</w:t>
      </w:r>
      <w:proofErr w:type="spellEnd"/>
      <w:r w:rsidRPr="00F16708">
        <w:rPr>
          <w:sz w:val="24"/>
          <w:szCs w:val="24"/>
          <w:lang w:val="en-US"/>
        </w:rPr>
        <w:t xml:space="preserve"> Ara </w:t>
      </w:r>
      <w:proofErr w:type="spellStart"/>
      <w:r w:rsidRPr="00F16708">
        <w:rPr>
          <w:sz w:val="24"/>
          <w:szCs w:val="24"/>
          <w:lang w:val="en-US"/>
        </w:rPr>
        <w:t>Wānaka</w:t>
      </w:r>
      <w:proofErr w:type="spellEnd"/>
      <w:r w:rsidRPr="00F16708">
        <w:rPr>
          <w:sz w:val="24"/>
          <w:szCs w:val="24"/>
          <w:lang w:val="en-US"/>
        </w:rPr>
        <w:t xml:space="preserve"> have been installed, running alongside the bank between Lakeside Road and the marina, before connecting with the Eely Point lakeside trail. Given this location is widely used by vehicles, boats, and trailers throughout the year, the </w:t>
      </w:r>
      <w:proofErr w:type="spellStart"/>
      <w:r w:rsidRPr="00F16708">
        <w:rPr>
          <w:sz w:val="24"/>
          <w:szCs w:val="24"/>
          <w:lang w:val="en-US"/>
        </w:rPr>
        <w:t>formalised</w:t>
      </w:r>
      <w:proofErr w:type="spellEnd"/>
      <w:r w:rsidRPr="00F16708">
        <w:rPr>
          <w:sz w:val="24"/>
          <w:szCs w:val="24"/>
          <w:lang w:val="en-US"/>
        </w:rPr>
        <w:t xml:space="preserve"> pathway will help to keep people safe while maintaining the existing space for recreational lake users. The project also delivered new parking locations for those using the marina, while safeguarding the boat and trailer parking area nearby. This latest addition to </w:t>
      </w:r>
      <w:proofErr w:type="spellStart"/>
      <w:r w:rsidRPr="00F16708">
        <w:rPr>
          <w:sz w:val="24"/>
          <w:szCs w:val="24"/>
          <w:lang w:val="en-US"/>
        </w:rPr>
        <w:t>Te</w:t>
      </w:r>
      <w:proofErr w:type="spellEnd"/>
      <w:r w:rsidRPr="00F16708">
        <w:rPr>
          <w:sz w:val="24"/>
          <w:szCs w:val="24"/>
          <w:lang w:val="en-US"/>
        </w:rPr>
        <w:t xml:space="preserve"> Ara </w:t>
      </w:r>
      <w:proofErr w:type="spellStart"/>
      <w:r w:rsidRPr="00F16708">
        <w:rPr>
          <w:sz w:val="24"/>
          <w:szCs w:val="24"/>
          <w:lang w:val="en-US"/>
        </w:rPr>
        <w:t>Wānaka</w:t>
      </w:r>
      <w:proofErr w:type="spellEnd"/>
      <w:r w:rsidRPr="00F16708">
        <w:rPr>
          <w:sz w:val="24"/>
          <w:szCs w:val="24"/>
          <w:lang w:val="en-US"/>
        </w:rPr>
        <w:t xml:space="preserve"> will help to separate vehicles and people moving through the area on foot, by bike, scooter or wheeled mobility device. </w:t>
      </w:r>
    </w:p>
    <w:p w14:paraId="135592BB" w14:textId="417F3D41" w:rsidR="00F16708" w:rsidRPr="00F16708" w:rsidRDefault="00F16708" w:rsidP="00F16708">
      <w:pPr>
        <w:rPr>
          <w:sz w:val="24"/>
          <w:szCs w:val="24"/>
          <w:lang w:val="en-US"/>
        </w:rPr>
      </w:pPr>
      <w:r w:rsidRPr="00F16708">
        <w:rPr>
          <w:sz w:val="24"/>
          <w:szCs w:val="24"/>
          <w:lang w:val="en-US"/>
        </w:rPr>
        <w:t>As a key enabling project for the Queenstown Town Centre, the Arterial Road</w:t>
      </w:r>
      <w:r w:rsidR="00666CF3">
        <w:rPr>
          <w:rStyle w:val="FootnoteReference"/>
          <w:sz w:val="24"/>
          <w:szCs w:val="24"/>
          <w:lang w:val="en-US"/>
        </w:rPr>
        <w:footnoteReference w:id="27"/>
      </w:r>
      <w:r w:rsidRPr="00F16708">
        <w:rPr>
          <w:sz w:val="24"/>
          <w:szCs w:val="24"/>
          <w:lang w:val="en-US"/>
        </w:rPr>
        <w:t xml:space="preserve"> unlocks a range of other benefits, including improved access for public transport, opportunities </w:t>
      </w:r>
      <w:r w:rsidRPr="00F16708">
        <w:rPr>
          <w:sz w:val="24"/>
          <w:szCs w:val="24"/>
          <w:lang w:val="en-US"/>
        </w:rPr>
        <w:lastRenderedPageBreak/>
        <w:t xml:space="preserve">for more people-friendly streets and space for the town </w:t>
      </w:r>
      <w:proofErr w:type="spellStart"/>
      <w:r w:rsidRPr="00F16708">
        <w:rPr>
          <w:sz w:val="24"/>
          <w:szCs w:val="24"/>
          <w:lang w:val="en-US"/>
        </w:rPr>
        <w:t>centre</w:t>
      </w:r>
      <w:proofErr w:type="spellEnd"/>
      <w:r w:rsidRPr="00F16708">
        <w:rPr>
          <w:sz w:val="24"/>
          <w:szCs w:val="24"/>
          <w:lang w:val="en-US"/>
        </w:rPr>
        <w:t xml:space="preserve"> to grow and flourish. Stage one, linking Melbourne and Henry </w:t>
      </w:r>
      <w:proofErr w:type="gramStart"/>
      <w:r w:rsidRPr="00F16708">
        <w:rPr>
          <w:sz w:val="24"/>
          <w:szCs w:val="24"/>
          <w:lang w:val="en-US"/>
        </w:rPr>
        <w:t>streets</w:t>
      </w:r>
      <w:proofErr w:type="gramEnd"/>
      <w:r w:rsidRPr="00F16708">
        <w:rPr>
          <w:sz w:val="24"/>
          <w:szCs w:val="24"/>
          <w:lang w:val="en-US"/>
        </w:rPr>
        <w:t xml:space="preserve"> was officially opened in January 2025. The opening followed a blessing ceremony which was an opportunity to acknowledge the </w:t>
      </w:r>
      <w:proofErr w:type="spellStart"/>
      <w:r w:rsidRPr="00F16708">
        <w:rPr>
          <w:sz w:val="24"/>
          <w:szCs w:val="24"/>
          <w:lang w:val="en-US"/>
        </w:rPr>
        <w:t>Kāi</w:t>
      </w:r>
      <w:proofErr w:type="spellEnd"/>
      <w:r w:rsidRPr="00F16708">
        <w:rPr>
          <w:sz w:val="24"/>
          <w:szCs w:val="24"/>
          <w:lang w:val="en-US"/>
        </w:rPr>
        <w:t xml:space="preserve"> Tahu narratives and values incorporated into stunning artworks included on the precast concrete retaining walls along the new road. </w:t>
      </w:r>
    </w:p>
    <w:p w14:paraId="0DB15F37" w14:textId="61CE117C" w:rsidR="00F16708" w:rsidRPr="00F16708" w:rsidRDefault="00F16708" w:rsidP="00F16708">
      <w:pPr>
        <w:rPr>
          <w:sz w:val="24"/>
          <w:szCs w:val="24"/>
          <w:lang w:val="en-US"/>
        </w:rPr>
      </w:pPr>
      <w:r w:rsidRPr="00F16708">
        <w:rPr>
          <w:sz w:val="24"/>
          <w:szCs w:val="24"/>
          <w:lang w:val="en-US"/>
        </w:rPr>
        <w:t xml:space="preserve">The end of 2024 saw the completion of a significant safety upgrade in </w:t>
      </w:r>
      <w:proofErr w:type="spellStart"/>
      <w:r w:rsidRPr="00F16708">
        <w:rPr>
          <w:sz w:val="24"/>
          <w:szCs w:val="24"/>
          <w:lang w:val="en-US"/>
        </w:rPr>
        <w:t>Wānaka</w:t>
      </w:r>
      <w:proofErr w:type="spellEnd"/>
      <w:r w:rsidRPr="00F16708">
        <w:rPr>
          <w:sz w:val="24"/>
          <w:szCs w:val="24"/>
          <w:lang w:val="en-US"/>
        </w:rPr>
        <w:t xml:space="preserve">, with the completion of a new roundabout at the intersection of Ballantyne Road and Riverbank Road. The roundabout has created a safer environment for all road users in the </w:t>
      </w:r>
      <w:proofErr w:type="gramStart"/>
      <w:r w:rsidRPr="00F16708">
        <w:rPr>
          <w:sz w:val="24"/>
          <w:szCs w:val="24"/>
          <w:lang w:val="en-US"/>
        </w:rPr>
        <w:t>area, and</w:t>
      </w:r>
      <w:proofErr w:type="gramEnd"/>
      <w:r w:rsidRPr="00F16708">
        <w:rPr>
          <w:sz w:val="24"/>
          <w:szCs w:val="24"/>
          <w:lang w:val="en-US"/>
        </w:rPr>
        <w:t xml:space="preserve"> improved active travel connectivity along Ballantyne Road through to </w:t>
      </w:r>
      <w:proofErr w:type="spellStart"/>
      <w:r w:rsidRPr="00F16708">
        <w:rPr>
          <w:sz w:val="24"/>
          <w:szCs w:val="24"/>
          <w:lang w:val="en-US"/>
        </w:rPr>
        <w:t>Wastebusters</w:t>
      </w:r>
      <w:proofErr w:type="spellEnd"/>
      <w:r w:rsidRPr="00F16708">
        <w:rPr>
          <w:sz w:val="24"/>
          <w:szCs w:val="24"/>
          <w:lang w:val="en-US"/>
        </w:rPr>
        <w:t xml:space="preserve">. The project also included raised safety tables on all lanes leading into the roundabout and upgrades to stormwater management in the area. </w:t>
      </w:r>
    </w:p>
    <w:p w14:paraId="689E73A1" w14:textId="77777777" w:rsidR="00F16708" w:rsidRPr="00F16708" w:rsidRDefault="00F16708" w:rsidP="00F16708">
      <w:pPr>
        <w:rPr>
          <w:sz w:val="24"/>
          <w:szCs w:val="24"/>
          <w:lang w:val="en-US"/>
        </w:rPr>
      </w:pPr>
      <w:r w:rsidRPr="00F16708">
        <w:rPr>
          <w:sz w:val="24"/>
          <w:szCs w:val="24"/>
          <w:lang w:val="en-US"/>
        </w:rPr>
        <w:t xml:space="preserve">In response to the community’s passion for cycling and alternative transport, active travel received a boost with the completion of a shared pathway linking McChesney Bridge, Arthurs Point and Queenstown. The route was identified as one of eight priority trails for the </w:t>
      </w:r>
      <w:proofErr w:type="spellStart"/>
      <w:r w:rsidRPr="00F16708">
        <w:rPr>
          <w:sz w:val="24"/>
          <w:szCs w:val="24"/>
          <w:lang w:val="en-US"/>
        </w:rPr>
        <w:t>Whakatipu</w:t>
      </w:r>
      <w:proofErr w:type="spellEnd"/>
      <w:r w:rsidRPr="00F16708">
        <w:rPr>
          <w:sz w:val="24"/>
          <w:szCs w:val="24"/>
          <w:lang w:val="en-US"/>
        </w:rPr>
        <w:t xml:space="preserve"> Active Travel Network: an integrated network of trails for walking and cycling that connects to public transport, providing a genuine alternative to getting around by car. </w:t>
      </w:r>
    </w:p>
    <w:p w14:paraId="21C6DF9A" w14:textId="77777777" w:rsidR="00F16708" w:rsidRPr="00F16708" w:rsidRDefault="00F16708" w:rsidP="00F16708">
      <w:pPr>
        <w:rPr>
          <w:sz w:val="24"/>
          <w:szCs w:val="24"/>
          <w:lang w:val="en-US"/>
        </w:rPr>
      </w:pPr>
      <w:r w:rsidRPr="00F16708">
        <w:rPr>
          <w:sz w:val="24"/>
          <w:szCs w:val="24"/>
          <w:lang w:val="en-US"/>
        </w:rPr>
        <w:t xml:space="preserve">In </w:t>
      </w:r>
      <w:proofErr w:type="spellStart"/>
      <w:r w:rsidRPr="00F16708">
        <w:rPr>
          <w:sz w:val="24"/>
          <w:szCs w:val="24"/>
          <w:lang w:val="en-US"/>
        </w:rPr>
        <w:t>Wānaka</w:t>
      </w:r>
      <w:proofErr w:type="spellEnd"/>
      <w:r w:rsidRPr="00F16708">
        <w:rPr>
          <w:sz w:val="24"/>
          <w:szCs w:val="24"/>
          <w:lang w:val="en-US"/>
        </w:rPr>
        <w:t>, the Schools to Pool footpath upgrades finished in September 2024, following the installation of a final raised safety table on the upper section of Ardmore Street near its intersection with Ballantyne Road. The three-</w:t>
      </w:r>
      <w:proofErr w:type="spellStart"/>
      <w:r w:rsidRPr="00F16708">
        <w:rPr>
          <w:sz w:val="24"/>
          <w:szCs w:val="24"/>
          <w:lang w:val="en-US"/>
        </w:rPr>
        <w:t>metre</w:t>
      </w:r>
      <w:proofErr w:type="spellEnd"/>
      <w:r w:rsidRPr="00F16708">
        <w:rPr>
          <w:sz w:val="24"/>
          <w:szCs w:val="24"/>
          <w:lang w:val="en-US"/>
        </w:rPr>
        <w:t xml:space="preserve">-wide shared pathway connects Holy Family Catholic School, </w:t>
      </w:r>
      <w:proofErr w:type="spellStart"/>
      <w:r w:rsidRPr="00F16708">
        <w:rPr>
          <w:sz w:val="24"/>
          <w:szCs w:val="24"/>
          <w:lang w:val="en-US"/>
        </w:rPr>
        <w:t>Wānaka</w:t>
      </w:r>
      <w:proofErr w:type="spellEnd"/>
      <w:r w:rsidRPr="00F16708">
        <w:rPr>
          <w:sz w:val="24"/>
          <w:szCs w:val="24"/>
          <w:lang w:val="en-US"/>
        </w:rPr>
        <w:t xml:space="preserve"> Primary School, and Mount Aspiring College with </w:t>
      </w:r>
      <w:proofErr w:type="spellStart"/>
      <w:r w:rsidRPr="00F16708">
        <w:rPr>
          <w:sz w:val="24"/>
          <w:szCs w:val="24"/>
          <w:lang w:val="en-US"/>
        </w:rPr>
        <w:t>Wānaka</w:t>
      </w:r>
      <w:proofErr w:type="spellEnd"/>
      <w:r w:rsidRPr="00F16708">
        <w:rPr>
          <w:sz w:val="24"/>
          <w:szCs w:val="24"/>
          <w:lang w:val="en-US"/>
        </w:rPr>
        <w:t xml:space="preserve"> Recreation Centre providing a safe, 4.5km cross-town link.</w:t>
      </w:r>
    </w:p>
    <w:p w14:paraId="42C33429" w14:textId="42679B52" w:rsidR="00F16708" w:rsidRPr="00666CF3" w:rsidRDefault="00F16708" w:rsidP="00B22501">
      <w:pPr>
        <w:pStyle w:val="Heading2"/>
        <w:rPr>
          <w:lang w:val="en-US"/>
        </w:rPr>
      </w:pPr>
      <w:bookmarkStart w:id="13" w:name="_Toc211422626"/>
      <w:r w:rsidRPr="00666CF3">
        <w:rPr>
          <w:lang w:val="en-US"/>
        </w:rPr>
        <w:t>Upgrading water</w:t>
      </w:r>
      <w:r w:rsidR="00666CF3" w:rsidRPr="00666CF3">
        <w:rPr>
          <w:lang w:val="en-US"/>
        </w:rPr>
        <w:t xml:space="preserve"> </w:t>
      </w:r>
      <w:r w:rsidRPr="00666CF3">
        <w:rPr>
          <w:lang w:val="en-US"/>
        </w:rPr>
        <w:t>networks to support</w:t>
      </w:r>
      <w:r w:rsidR="00666CF3" w:rsidRPr="00666CF3">
        <w:rPr>
          <w:lang w:val="en-US"/>
        </w:rPr>
        <w:t xml:space="preserve"> </w:t>
      </w:r>
      <w:r w:rsidRPr="00666CF3">
        <w:rPr>
          <w:lang w:val="en-US"/>
        </w:rPr>
        <w:t>district growth</w:t>
      </w:r>
      <w:bookmarkEnd w:id="13"/>
    </w:p>
    <w:p w14:paraId="55B4D15A" w14:textId="77777777" w:rsidR="00F16708" w:rsidRPr="00F16708" w:rsidRDefault="00F16708" w:rsidP="00F16708">
      <w:pPr>
        <w:rPr>
          <w:sz w:val="24"/>
          <w:szCs w:val="24"/>
          <w:lang w:val="en-US"/>
        </w:rPr>
      </w:pPr>
      <w:r w:rsidRPr="00F16708">
        <w:rPr>
          <w:sz w:val="24"/>
          <w:szCs w:val="24"/>
          <w:lang w:val="en-US"/>
        </w:rPr>
        <w:t xml:space="preserve">Three waters investment has continued in the last few years, despite the uncertainty of government reforms. In December 2024, </w:t>
      </w:r>
      <w:proofErr w:type="spellStart"/>
      <w:r w:rsidRPr="00F16708">
        <w:rPr>
          <w:sz w:val="24"/>
          <w:szCs w:val="24"/>
          <w:lang w:val="en-US"/>
        </w:rPr>
        <w:t>Glenorchy’s</w:t>
      </w:r>
      <w:proofErr w:type="spellEnd"/>
      <w:r w:rsidRPr="00F16708">
        <w:rPr>
          <w:sz w:val="24"/>
          <w:szCs w:val="24"/>
          <w:lang w:val="en-US"/>
        </w:rPr>
        <w:t xml:space="preserve"> water treatment upgrades were </w:t>
      </w:r>
      <w:proofErr w:type="gramStart"/>
      <w:r w:rsidRPr="00F16708">
        <w:rPr>
          <w:sz w:val="24"/>
          <w:szCs w:val="24"/>
          <w:lang w:val="en-US"/>
        </w:rPr>
        <w:t>completed</w:t>
      </w:r>
      <w:proofErr w:type="gramEnd"/>
      <w:r w:rsidRPr="00F16708">
        <w:rPr>
          <w:sz w:val="24"/>
          <w:szCs w:val="24"/>
          <w:lang w:val="en-US"/>
        </w:rPr>
        <w:t xml:space="preserve"> which included the delivery of a new UV water treatment solution as part of the </w:t>
      </w:r>
      <w:proofErr w:type="spellStart"/>
      <w:r w:rsidRPr="00F16708">
        <w:rPr>
          <w:sz w:val="24"/>
          <w:szCs w:val="24"/>
          <w:lang w:val="en-US"/>
        </w:rPr>
        <w:t>organisation’s</w:t>
      </w:r>
      <w:proofErr w:type="spellEnd"/>
      <w:r w:rsidRPr="00F16708">
        <w:rPr>
          <w:sz w:val="24"/>
          <w:szCs w:val="24"/>
          <w:lang w:val="en-US"/>
        </w:rPr>
        <w:t xml:space="preserve"> response to the cryptosporidium outbreak that affected Queenstown’s water supply in October 2023. </w:t>
      </w:r>
    </w:p>
    <w:p w14:paraId="14D0445D" w14:textId="77777777" w:rsidR="00F16708" w:rsidRPr="00F16708" w:rsidRDefault="00F16708" w:rsidP="00F16708">
      <w:pPr>
        <w:rPr>
          <w:sz w:val="24"/>
          <w:szCs w:val="24"/>
          <w:lang w:val="en-US"/>
        </w:rPr>
      </w:pPr>
      <w:r w:rsidRPr="00F16708">
        <w:rPr>
          <w:sz w:val="24"/>
          <w:szCs w:val="24"/>
          <w:lang w:val="en-US"/>
        </w:rPr>
        <w:t xml:space="preserve">In January 2025, work was completed to upgrade a section of the main trunk water supply line on Frankton Road, which delivers water to the wider Queenstown and Frankton areas. Approximately 300 </w:t>
      </w:r>
      <w:proofErr w:type="spellStart"/>
      <w:r w:rsidRPr="00F16708">
        <w:rPr>
          <w:sz w:val="24"/>
          <w:szCs w:val="24"/>
          <w:lang w:val="en-US"/>
        </w:rPr>
        <w:t>metres</w:t>
      </w:r>
      <w:proofErr w:type="spellEnd"/>
      <w:r w:rsidRPr="00F16708">
        <w:rPr>
          <w:sz w:val="24"/>
          <w:szCs w:val="24"/>
          <w:lang w:val="en-US"/>
        </w:rPr>
        <w:t xml:space="preserve"> of a new and stronger pipe were installed between 645 and 723 Frankton Road, along with a rider main, and isolation valves. Replacing the existing infrastructure reduces the risk of future issues, extended water shutdowns in the area, and the potential for flooding to private properties. Installing isolation valves means less properties will be affected by a water shutdown if a leak or break occurs in the future. </w:t>
      </w:r>
    </w:p>
    <w:p w14:paraId="14DB4F06" w14:textId="49C93933" w:rsidR="00F16708" w:rsidRPr="00F16708" w:rsidRDefault="00F16708" w:rsidP="00F16708">
      <w:pPr>
        <w:rPr>
          <w:sz w:val="24"/>
          <w:szCs w:val="24"/>
          <w:lang w:val="en-US"/>
        </w:rPr>
      </w:pPr>
      <w:r w:rsidRPr="00F16708">
        <w:rPr>
          <w:sz w:val="24"/>
          <w:szCs w:val="24"/>
          <w:lang w:val="en-US"/>
        </w:rPr>
        <w:t>A project commenced to implement upgrades to the wastewater network in the Upper Clutha.</w:t>
      </w:r>
      <w:r w:rsidR="00666CF3">
        <w:rPr>
          <w:rStyle w:val="FootnoteReference"/>
          <w:sz w:val="24"/>
          <w:szCs w:val="24"/>
          <w:lang w:val="en-US"/>
        </w:rPr>
        <w:footnoteReference w:id="28"/>
      </w:r>
      <w:r w:rsidRPr="00F16708">
        <w:rPr>
          <w:sz w:val="24"/>
          <w:szCs w:val="24"/>
          <w:lang w:val="en-US"/>
        </w:rPr>
        <w:t xml:space="preserve"> The project will respond to and futureproof Hāwea’s wastewater needs, </w:t>
      </w:r>
      <w:proofErr w:type="spellStart"/>
      <w:r w:rsidRPr="00F16708">
        <w:rPr>
          <w:sz w:val="24"/>
          <w:szCs w:val="24"/>
          <w:lang w:val="en-US"/>
        </w:rPr>
        <w:lastRenderedPageBreak/>
        <w:t>minimise</w:t>
      </w:r>
      <w:proofErr w:type="spellEnd"/>
      <w:r w:rsidRPr="00F16708">
        <w:rPr>
          <w:sz w:val="24"/>
          <w:szCs w:val="24"/>
          <w:lang w:val="en-US"/>
        </w:rPr>
        <w:t xml:space="preserve"> the chance of contaminants entering the natural environment during the treatment and disposal process, and increase the capacity and resilience of the wider </w:t>
      </w:r>
      <w:proofErr w:type="spellStart"/>
      <w:r w:rsidRPr="00F16708">
        <w:rPr>
          <w:sz w:val="24"/>
          <w:szCs w:val="24"/>
          <w:lang w:val="en-US"/>
        </w:rPr>
        <w:t>Wānaka</w:t>
      </w:r>
      <w:proofErr w:type="spellEnd"/>
      <w:r w:rsidRPr="00F16708">
        <w:rPr>
          <w:sz w:val="24"/>
          <w:szCs w:val="24"/>
          <w:lang w:val="en-US"/>
        </w:rPr>
        <w:t xml:space="preserve"> and Albert Town wastewater network. Detailed design for this project is complete which includes a new wastewater pump station in Hāwea, pipeline to Albert Town, upgrades to the Riverbank Road pump station, upgrades to Project Pure, and decommissioning of the existing Hāwea treatment plant. Procurement is now completed and a contract awarded to deliver this key project with construction intended to start in spring 2025. </w:t>
      </w:r>
    </w:p>
    <w:p w14:paraId="3C73453D" w14:textId="77777777" w:rsidR="00F16708" w:rsidRPr="00F16708" w:rsidRDefault="00F16708" w:rsidP="00F16708">
      <w:pPr>
        <w:rPr>
          <w:sz w:val="24"/>
          <w:szCs w:val="24"/>
          <w:lang w:val="en-US"/>
        </w:rPr>
      </w:pPr>
      <w:r w:rsidRPr="00F16708">
        <w:rPr>
          <w:sz w:val="24"/>
          <w:szCs w:val="24"/>
          <w:lang w:val="en-US"/>
        </w:rPr>
        <w:t xml:space="preserve">There is significant growth-related capital investment planned for </w:t>
      </w:r>
      <w:proofErr w:type="spellStart"/>
      <w:r w:rsidRPr="00F16708">
        <w:rPr>
          <w:sz w:val="24"/>
          <w:szCs w:val="24"/>
          <w:lang w:val="en-US"/>
        </w:rPr>
        <w:t>Te</w:t>
      </w:r>
      <w:proofErr w:type="spellEnd"/>
      <w:r w:rsidRPr="00F16708">
        <w:rPr>
          <w:sz w:val="24"/>
          <w:szCs w:val="24"/>
          <w:lang w:val="en-US"/>
        </w:rPr>
        <w:t xml:space="preserve"> </w:t>
      </w:r>
      <w:proofErr w:type="spellStart"/>
      <w:r w:rsidRPr="00F16708">
        <w:rPr>
          <w:sz w:val="24"/>
          <w:szCs w:val="24"/>
          <w:lang w:val="en-US"/>
        </w:rPr>
        <w:t>Pūtahi</w:t>
      </w:r>
      <w:proofErr w:type="spellEnd"/>
      <w:r w:rsidRPr="00F16708">
        <w:rPr>
          <w:sz w:val="24"/>
          <w:szCs w:val="24"/>
          <w:lang w:val="en-US"/>
        </w:rPr>
        <w:t xml:space="preserve"> Ladies Mile ($113.7M) and </w:t>
      </w:r>
      <w:proofErr w:type="spellStart"/>
      <w:r w:rsidRPr="00F16708">
        <w:rPr>
          <w:sz w:val="24"/>
          <w:szCs w:val="24"/>
          <w:lang w:val="en-US"/>
        </w:rPr>
        <w:t>Te</w:t>
      </w:r>
      <w:proofErr w:type="spellEnd"/>
      <w:r w:rsidRPr="00F16708">
        <w:rPr>
          <w:sz w:val="24"/>
          <w:szCs w:val="24"/>
          <w:lang w:val="en-US"/>
        </w:rPr>
        <w:t xml:space="preserve"> </w:t>
      </w:r>
      <w:proofErr w:type="spellStart"/>
      <w:r w:rsidRPr="00F16708">
        <w:rPr>
          <w:sz w:val="24"/>
          <w:szCs w:val="24"/>
          <w:lang w:val="en-US"/>
        </w:rPr>
        <w:t>Tapuae</w:t>
      </w:r>
      <w:proofErr w:type="spellEnd"/>
      <w:r w:rsidRPr="00F16708">
        <w:rPr>
          <w:sz w:val="24"/>
          <w:szCs w:val="24"/>
          <w:lang w:val="en-US"/>
        </w:rPr>
        <w:t xml:space="preserve"> Southern Corridor ($178.6M) in the LTP. Most of this investment is related to three </w:t>
      </w:r>
      <w:proofErr w:type="gramStart"/>
      <w:r w:rsidRPr="00F16708">
        <w:rPr>
          <w:sz w:val="24"/>
          <w:szCs w:val="24"/>
          <w:lang w:val="en-US"/>
        </w:rPr>
        <w:t>waters</w:t>
      </w:r>
      <w:proofErr w:type="gramEnd"/>
      <w:r w:rsidRPr="00F16708">
        <w:rPr>
          <w:sz w:val="24"/>
          <w:szCs w:val="24"/>
          <w:lang w:val="en-US"/>
        </w:rPr>
        <w:t xml:space="preserve"> and is planned from year 4 </w:t>
      </w:r>
      <w:proofErr w:type="gramStart"/>
      <w:r w:rsidRPr="00F16708">
        <w:rPr>
          <w:sz w:val="24"/>
          <w:szCs w:val="24"/>
          <w:lang w:val="en-US"/>
        </w:rPr>
        <w:t>onwards</w:t>
      </w:r>
      <w:proofErr w:type="gramEnd"/>
      <w:r w:rsidRPr="00F16708">
        <w:rPr>
          <w:sz w:val="24"/>
          <w:szCs w:val="24"/>
          <w:lang w:val="en-US"/>
        </w:rPr>
        <w:t xml:space="preserve"> which allows time for investigation of different financing tools for this growth-related infrastructure. This will include consideration of the Infrastructure Funding and Financing Act (IFFA), which allows new growth infrastructure to be delivered and financed without the debt showing on Council’s balance sheet. Under the IFFA, the beneficiaries of the infrastructure are charged by way of an annual levy. Council will also look to make Developer Agreements which require higher up-front payments from developers towards growth servicing costs or for developers to provide trunk infrastructure in exchange for credits on future development contributions. </w:t>
      </w:r>
    </w:p>
    <w:p w14:paraId="4010D19B" w14:textId="0FF97076" w:rsidR="00F16708" w:rsidRPr="00F16708" w:rsidRDefault="00F16708" w:rsidP="00F16708">
      <w:pPr>
        <w:rPr>
          <w:sz w:val="24"/>
          <w:szCs w:val="24"/>
          <w:lang w:val="en-US"/>
        </w:rPr>
      </w:pPr>
      <w:r w:rsidRPr="00F16708">
        <w:rPr>
          <w:sz w:val="24"/>
          <w:szCs w:val="24"/>
          <w:lang w:val="en-US"/>
        </w:rPr>
        <w:t>Other significant growth-related investment is going ahead at Kingston</w:t>
      </w:r>
      <w:r w:rsidR="00666CF3">
        <w:rPr>
          <w:rStyle w:val="FootnoteReference"/>
          <w:sz w:val="24"/>
          <w:szCs w:val="24"/>
          <w:lang w:val="en-US"/>
        </w:rPr>
        <w:footnoteReference w:id="29"/>
      </w:r>
      <w:r w:rsidRPr="00F16708">
        <w:rPr>
          <w:sz w:val="24"/>
          <w:szCs w:val="24"/>
          <w:lang w:val="en-US"/>
        </w:rPr>
        <w:t xml:space="preserve"> ($77.6M) and in the Upper Clutha</w:t>
      </w:r>
      <w:r w:rsidR="00666CF3">
        <w:rPr>
          <w:rStyle w:val="FootnoteReference"/>
          <w:sz w:val="24"/>
          <w:szCs w:val="24"/>
          <w:lang w:val="en-US"/>
        </w:rPr>
        <w:footnoteReference w:id="30"/>
      </w:r>
      <w:r w:rsidRPr="00F16708">
        <w:rPr>
          <w:sz w:val="24"/>
          <w:szCs w:val="24"/>
          <w:lang w:val="en-US"/>
        </w:rPr>
        <w:t xml:space="preserve"> ($275M) which includes water supply scheme upgrades at Hāwea and </w:t>
      </w:r>
      <w:proofErr w:type="spellStart"/>
      <w:r w:rsidRPr="00F16708">
        <w:rPr>
          <w:sz w:val="24"/>
          <w:szCs w:val="24"/>
          <w:lang w:val="en-US"/>
        </w:rPr>
        <w:t>Luggate</w:t>
      </w:r>
      <w:proofErr w:type="spellEnd"/>
      <w:r w:rsidRPr="00F16708">
        <w:rPr>
          <w:sz w:val="24"/>
          <w:szCs w:val="24"/>
          <w:lang w:val="en-US"/>
        </w:rPr>
        <w:t>, and Beacon Point, Cardrona</w:t>
      </w:r>
      <w:r w:rsidR="00B22501">
        <w:rPr>
          <w:sz w:val="24"/>
          <w:szCs w:val="24"/>
          <w:lang w:val="en-US"/>
        </w:rPr>
        <w:t xml:space="preserve"> </w:t>
      </w:r>
      <w:r w:rsidRPr="00F16708">
        <w:rPr>
          <w:sz w:val="24"/>
          <w:szCs w:val="24"/>
          <w:lang w:val="en-US"/>
        </w:rPr>
        <w:t xml:space="preserve">wastewater scheme upgrade, Stone Street stormwater supply upgrades, Upper Clutha and Southwest </w:t>
      </w:r>
      <w:proofErr w:type="spellStart"/>
      <w:r w:rsidRPr="00F16708">
        <w:rPr>
          <w:sz w:val="24"/>
          <w:szCs w:val="24"/>
          <w:lang w:val="en-US"/>
        </w:rPr>
        <w:t>Wānaka</w:t>
      </w:r>
      <w:proofErr w:type="spellEnd"/>
      <w:r w:rsidRPr="00F16708">
        <w:rPr>
          <w:sz w:val="24"/>
          <w:szCs w:val="24"/>
          <w:lang w:val="en-US"/>
        </w:rPr>
        <w:t xml:space="preserve"> conveyance schemes, and Project Pure future works. This comprises mainly three waters infrastructure and is supported by Council successfully accessing over $20M of central government funding through the Housing Infrastructure Fund (HIF) for Kingston and the Infrastructure Acceleration Fund (IAF) in the Upper Clutha. Increasing capacity for the district to effectively manage waste and recycling is a priority as the population continues to grow. </w:t>
      </w:r>
    </w:p>
    <w:p w14:paraId="771A3252" w14:textId="7E62EC90" w:rsidR="00F16708" w:rsidRPr="00F16708" w:rsidRDefault="00F16708" w:rsidP="00350605">
      <w:pPr>
        <w:pStyle w:val="Heading2"/>
        <w:rPr>
          <w:lang w:val="en-US"/>
        </w:rPr>
      </w:pPr>
      <w:bookmarkStart w:id="14" w:name="_Toc211422627"/>
      <w:r w:rsidRPr="00F16708">
        <w:rPr>
          <w:lang w:val="en-US"/>
        </w:rPr>
        <w:t>Securing the future</w:t>
      </w:r>
      <w:r w:rsidR="00666CF3">
        <w:rPr>
          <w:lang w:val="en-US"/>
        </w:rPr>
        <w:t xml:space="preserve"> </w:t>
      </w:r>
      <w:r w:rsidRPr="00F16708">
        <w:rPr>
          <w:lang w:val="en-US"/>
        </w:rPr>
        <w:t>of our airports</w:t>
      </w:r>
      <w:bookmarkEnd w:id="14"/>
    </w:p>
    <w:p w14:paraId="43096CCC" w14:textId="550CC13D" w:rsidR="00F16708" w:rsidRPr="00F16708" w:rsidRDefault="00F16708" w:rsidP="00F16708">
      <w:pPr>
        <w:rPr>
          <w:sz w:val="24"/>
          <w:szCs w:val="24"/>
          <w:lang w:val="en-US"/>
        </w:rPr>
      </w:pPr>
      <w:proofErr w:type="spellStart"/>
      <w:r w:rsidRPr="00F16708">
        <w:rPr>
          <w:sz w:val="24"/>
          <w:szCs w:val="24"/>
          <w:lang w:val="en-US"/>
        </w:rPr>
        <w:t>Wānaka</w:t>
      </w:r>
      <w:proofErr w:type="spellEnd"/>
      <w:r w:rsidRPr="00F16708">
        <w:rPr>
          <w:sz w:val="24"/>
          <w:szCs w:val="24"/>
          <w:lang w:val="en-US"/>
        </w:rPr>
        <w:t xml:space="preserve"> Airport</w:t>
      </w:r>
      <w:r w:rsidR="00350605">
        <w:rPr>
          <w:rStyle w:val="FootnoteReference"/>
          <w:sz w:val="24"/>
          <w:szCs w:val="24"/>
          <w:lang w:val="en-US"/>
        </w:rPr>
        <w:footnoteReference w:id="31"/>
      </w:r>
      <w:r w:rsidRPr="00F16708">
        <w:rPr>
          <w:sz w:val="24"/>
          <w:szCs w:val="24"/>
          <w:lang w:val="en-US"/>
        </w:rPr>
        <w:t xml:space="preserve"> is an important asset for the Council and its communities, not just in the Upper Clutha but across the district. There are more than 11 businesses with around 250 people working in and around the airport on day-to-day operations. Queenstown Airport Corporation (QAC) manages </w:t>
      </w:r>
      <w:proofErr w:type="spellStart"/>
      <w:r w:rsidRPr="00F16708">
        <w:rPr>
          <w:sz w:val="24"/>
          <w:szCs w:val="24"/>
          <w:lang w:val="en-US"/>
        </w:rPr>
        <w:t>Wānaka</w:t>
      </w:r>
      <w:proofErr w:type="spellEnd"/>
      <w:r w:rsidRPr="00F16708">
        <w:rPr>
          <w:sz w:val="24"/>
          <w:szCs w:val="24"/>
          <w:lang w:val="en-US"/>
        </w:rPr>
        <w:t xml:space="preserve"> Airport’s day-to-day operations on behalf of QLDC under a management services agreement. </w:t>
      </w:r>
    </w:p>
    <w:p w14:paraId="19004FAC" w14:textId="162E50F2" w:rsidR="00F16708" w:rsidRPr="00F16708" w:rsidRDefault="00F16708" w:rsidP="00F16708">
      <w:pPr>
        <w:rPr>
          <w:sz w:val="24"/>
          <w:szCs w:val="24"/>
          <w:lang w:val="en-US"/>
        </w:rPr>
      </w:pPr>
      <w:r w:rsidRPr="00F16708">
        <w:rPr>
          <w:sz w:val="24"/>
          <w:szCs w:val="24"/>
          <w:lang w:val="en-US"/>
        </w:rPr>
        <w:t xml:space="preserve">Two key </w:t>
      </w:r>
      <w:proofErr w:type="spellStart"/>
      <w:r w:rsidRPr="00F16708">
        <w:rPr>
          <w:sz w:val="24"/>
          <w:szCs w:val="24"/>
          <w:lang w:val="en-US"/>
        </w:rPr>
        <w:t>programmes</w:t>
      </w:r>
      <w:proofErr w:type="spellEnd"/>
      <w:r w:rsidRPr="00F16708">
        <w:rPr>
          <w:sz w:val="24"/>
          <w:szCs w:val="24"/>
          <w:lang w:val="en-US"/>
        </w:rPr>
        <w:t xml:space="preserve"> of work have progressed in the last year</w:t>
      </w:r>
      <w:r w:rsidR="00666CF3">
        <w:rPr>
          <w:sz w:val="24"/>
          <w:szCs w:val="24"/>
          <w:lang w:val="en-US"/>
        </w:rPr>
        <w:t xml:space="preserve"> </w:t>
      </w:r>
      <w:r w:rsidRPr="00F16708">
        <w:rPr>
          <w:sz w:val="24"/>
          <w:szCs w:val="24"/>
          <w:lang w:val="en-US"/>
        </w:rPr>
        <w:t xml:space="preserve">to ensure that </w:t>
      </w:r>
      <w:proofErr w:type="spellStart"/>
      <w:r w:rsidRPr="00F16708">
        <w:rPr>
          <w:sz w:val="24"/>
          <w:szCs w:val="24"/>
          <w:lang w:val="en-US"/>
        </w:rPr>
        <w:t>Wānaka</w:t>
      </w:r>
      <w:proofErr w:type="spellEnd"/>
      <w:r w:rsidRPr="00F16708">
        <w:rPr>
          <w:sz w:val="24"/>
          <w:szCs w:val="24"/>
          <w:lang w:val="en-US"/>
        </w:rPr>
        <w:t xml:space="preserve"> Airport continues to meet the needs of current and future generations. The first is work underway to obtain a ‘Qualifying Aerodrome Operator Certificate’ for the airport as it </w:t>
      </w:r>
      <w:r w:rsidRPr="00F16708">
        <w:rPr>
          <w:sz w:val="24"/>
          <w:szCs w:val="24"/>
          <w:lang w:val="en-US"/>
        </w:rPr>
        <w:lastRenderedPageBreak/>
        <w:t>has passed a threshold of activity which requires this status</w:t>
      </w:r>
      <w:r w:rsidR="00350605">
        <w:rPr>
          <w:rStyle w:val="FootnoteReference"/>
          <w:sz w:val="24"/>
          <w:szCs w:val="24"/>
          <w:lang w:val="en-US"/>
        </w:rPr>
        <w:footnoteReference w:id="32"/>
      </w:r>
      <w:r w:rsidRPr="00F16708">
        <w:rPr>
          <w:sz w:val="24"/>
          <w:szCs w:val="24"/>
          <w:lang w:val="en-US"/>
        </w:rPr>
        <w:t xml:space="preserve">. As a result, the Civil Aviation Authority (CAA) has issued a letter notifying QLDC that it requires the airport to achieve qualifying status under Part 139 of the Civil Aviation Rules. The alternative – not achieving certification – would restrict activity at the airport to below current levels which would have a negative effect on current users and the local community. With budget in the LTP, work is underway to achieve this status and includes physical </w:t>
      </w:r>
      <w:proofErr w:type="gramStart"/>
      <w:r w:rsidRPr="00F16708">
        <w:rPr>
          <w:sz w:val="24"/>
          <w:szCs w:val="24"/>
          <w:lang w:val="en-US"/>
        </w:rPr>
        <w:t>works</w:t>
      </w:r>
      <w:proofErr w:type="gramEnd"/>
      <w:r w:rsidRPr="00F16708">
        <w:rPr>
          <w:sz w:val="24"/>
          <w:szCs w:val="24"/>
          <w:lang w:val="en-US"/>
        </w:rPr>
        <w:t xml:space="preserve"> to provide a safe operating environment e.g. tree removal, strip widening and new fencing to support safe access to the airstrip (expected to take approx. 2-3 years) and preparing a Safety Management System that includes specific policies, procedures and documentation (10-12 months’ work). </w:t>
      </w:r>
    </w:p>
    <w:p w14:paraId="7E72BFD7" w14:textId="5ADD70DD" w:rsidR="00F16708" w:rsidRPr="00F16708" w:rsidRDefault="00F16708" w:rsidP="00F16708">
      <w:pPr>
        <w:rPr>
          <w:sz w:val="24"/>
          <w:szCs w:val="24"/>
          <w:lang w:val="en-US"/>
        </w:rPr>
      </w:pPr>
      <w:r w:rsidRPr="00F16708">
        <w:rPr>
          <w:sz w:val="24"/>
          <w:szCs w:val="24"/>
          <w:lang w:val="en-US"/>
        </w:rPr>
        <w:t xml:space="preserve">The future use of </w:t>
      </w:r>
      <w:proofErr w:type="spellStart"/>
      <w:r w:rsidRPr="00F16708">
        <w:rPr>
          <w:sz w:val="24"/>
          <w:szCs w:val="24"/>
          <w:lang w:val="en-US"/>
        </w:rPr>
        <w:t>Wānaka</w:t>
      </w:r>
      <w:proofErr w:type="spellEnd"/>
      <w:r w:rsidRPr="00F16708">
        <w:rPr>
          <w:sz w:val="24"/>
          <w:szCs w:val="24"/>
          <w:lang w:val="en-US"/>
        </w:rPr>
        <w:t xml:space="preserve"> Airport is the other </w:t>
      </w:r>
      <w:proofErr w:type="spellStart"/>
      <w:r w:rsidRPr="00F16708">
        <w:rPr>
          <w:sz w:val="24"/>
          <w:szCs w:val="24"/>
          <w:lang w:val="en-US"/>
        </w:rPr>
        <w:t>programme</w:t>
      </w:r>
      <w:proofErr w:type="spellEnd"/>
      <w:r w:rsidRPr="00F16708">
        <w:rPr>
          <w:sz w:val="24"/>
          <w:szCs w:val="24"/>
          <w:lang w:val="en-US"/>
        </w:rPr>
        <w:t xml:space="preserve"> of work underway</w:t>
      </w:r>
      <w:r w:rsidR="00350605">
        <w:rPr>
          <w:rStyle w:val="FootnoteReference"/>
          <w:sz w:val="24"/>
          <w:szCs w:val="24"/>
          <w:lang w:val="en-US"/>
        </w:rPr>
        <w:footnoteReference w:id="33"/>
      </w:r>
      <w:r w:rsidRPr="00F16708">
        <w:rPr>
          <w:sz w:val="24"/>
          <w:szCs w:val="24"/>
          <w:lang w:val="en-US"/>
        </w:rPr>
        <w:t xml:space="preserve">. In July 2024 as part of LTP consultation, QLDC </w:t>
      </w:r>
      <w:proofErr w:type="spellStart"/>
      <w:r w:rsidRPr="00F16708">
        <w:rPr>
          <w:sz w:val="24"/>
          <w:szCs w:val="24"/>
          <w:lang w:val="en-US"/>
        </w:rPr>
        <w:t>signalled</w:t>
      </w:r>
      <w:proofErr w:type="spellEnd"/>
      <w:r w:rsidRPr="00F16708">
        <w:rPr>
          <w:sz w:val="24"/>
          <w:szCs w:val="24"/>
          <w:lang w:val="en-US"/>
        </w:rPr>
        <w:t xml:space="preserve"> its intent to begin a process to</w:t>
      </w:r>
      <w:r w:rsidR="00350605">
        <w:rPr>
          <w:sz w:val="24"/>
          <w:szCs w:val="24"/>
          <w:lang w:val="en-US"/>
        </w:rPr>
        <w:t xml:space="preserve"> </w:t>
      </w:r>
      <w:r w:rsidRPr="00F16708">
        <w:rPr>
          <w:sz w:val="24"/>
          <w:szCs w:val="24"/>
          <w:lang w:val="en-US"/>
        </w:rPr>
        <w:t xml:space="preserve">develop a long-term plan for the </w:t>
      </w:r>
      <w:proofErr w:type="spellStart"/>
      <w:r w:rsidRPr="00F16708">
        <w:rPr>
          <w:sz w:val="24"/>
          <w:szCs w:val="24"/>
          <w:lang w:val="en-US"/>
        </w:rPr>
        <w:t>Wānaka</w:t>
      </w:r>
      <w:proofErr w:type="spellEnd"/>
      <w:r w:rsidRPr="00F16708">
        <w:rPr>
          <w:sz w:val="24"/>
          <w:szCs w:val="24"/>
          <w:lang w:val="en-US"/>
        </w:rPr>
        <w:t xml:space="preserve"> Airport. After open market procurement, that process began in April 2025 being led by Egis NZ Ltd, a global group with dedicated teams throughout New Zealand bringing relevant sector expertise and advisory services. The Egis Group has experience in managing 20 airports worldwide and is committed to delivering projects that drive social, economic, and environmental benefits for local communities. Egis has developed a </w:t>
      </w:r>
      <w:proofErr w:type="spellStart"/>
      <w:r w:rsidRPr="00F16708">
        <w:rPr>
          <w:sz w:val="24"/>
          <w:szCs w:val="24"/>
          <w:lang w:val="en-US"/>
        </w:rPr>
        <w:t>programme</w:t>
      </w:r>
      <w:proofErr w:type="spellEnd"/>
      <w:r w:rsidRPr="00F16708">
        <w:rPr>
          <w:sz w:val="24"/>
          <w:szCs w:val="24"/>
          <w:lang w:val="en-US"/>
        </w:rPr>
        <w:t xml:space="preserve"> of engagement with the community and key stakeholders, and at the time of preparing this report had undertaken meetings with the airport's private and commercial users, the </w:t>
      </w:r>
      <w:proofErr w:type="spellStart"/>
      <w:r w:rsidRPr="00F16708">
        <w:rPr>
          <w:sz w:val="24"/>
          <w:szCs w:val="24"/>
          <w:lang w:val="en-US"/>
        </w:rPr>
        <w:t>Wānaka</w:t>
      </w:r>
      <w:proofErr w:type="spellEnd"/>
      <w:r w:rsidRPr="00F16708">
        <w:rPr>
          <w:sz w:val="24"/>
          <w:szCs w:val="24"/>
          <w:lang w:val="en-US"/>
        </w:rPr>
        <w:t xml:space="preserve">-Upper Clutha Community Board, and community drop-in sessions as at the end of June. Council looks forward to providing more information on this significant process as it develops. </w:t>
      </w:r>
    </w:p>
    <w:p w14:paraId="13369F82" w14:textId="09CC70A3" w:rsidR="00F16708" w:rsidRPr="00F16708" w:rsidRDefault="00F16708" w:rsidP="00F16708">
      <w:pPr>
        <w:rPr>
          <w:sz w:val="24"/>
          <w:szCs w:val="24"/>
          <w:lang w:val="en-US"/>
        </w:rPr>
      </w:pPr>
      <w:r w:rsidRPr="00F16708">
        <w:rPr>
          <w:sz w:val="24"/>
          <w:szCs w:val="24"/>
          <w:lang w:val="en-US"/>
        </w:rPr>
        <w:t>QLDC is also the majority shareholder for the Queenstown Airport Corporation (QAC) which owns and operates Queenstown Airport</w:t>
      </w:r>
      <w:r w:rsidR="00350605">
        <w:rPr>
          <w:rStyle w:val="FootnoteReference"/>
          <w:sz w:val="24"/>
          <w:szCs w:val="24"/>
          <w:lang w:val="en-US"/>
        </w:rPr>
        <w:footnoteReference w:id="34"/>
      </w:r>
      <w:r w:rsidRPr="00F16708">
        <w:rPr>
          <w:sz w:val="24"/>
          <w:szCs w:val="24"/>
          <w:lang w:val="en-US"/>
        </w:rPr>
        <w:t xml:space="preserve">. As a Council-controlled Trading </w:t>
      </w:r>
      <w:proofErr w:type="spellStart"/>
      <w:r w:rsidRPr="00F16708">
        <w:rPr>
          <w:sz w:val="24"/>
          <w:szCs w:val="24"/>
          <w:lang w:val="en-US"/>
        </w:rPr>
        <w:t>Organisation</w:t>
      </w:r>
      <w:proofErr w:type="spellEnd"/>
      <w:r w:rsidRPr="00F16708">
        <w:rPr>
          <w:sz w:val="24"/>
          <w:szCs w:val="24"/>
          <w:lang w:val="en-US"/>
        </w:rPr>
        <w:t>, it has an appointed Board of Directors to oversee its activities such as the implementation of its strategic plan and Queenstown Airport masterplan. The Council is responsible for appointing the directors and the election of Chair and Deputy Chair. In October 2024, the Council and QAC farewelled long-term Chair, Adrienne Young-Cooper who had reached her maximum tenure. Current Chair, Simon Flood, was subsequently elected having previously held the position of Deputy Chair. New appointments were also made to the Board in October 2024, and January 2025. As the major shareholder, QLDC receives an annual dividend which is used to pay down debt. For the 2024-2025 financial year QAC announced a dividend to QLDC of $14.1M.</w:t>
      </w:r>
    </w:p>
    <w:p w14:paraId="3CA8F164" w14:textId="5D0CFEB0" w:rsidR="00F16708" w:rsidRPr="00F16708" w:rsidRDefault="00F16708" w:rsidP="00350605">
      <w:pPr>
        <w:pStyle w:val="Heading2"/>
        <w:rPr>
          <w:lang w:val="en-US"/>
        </w:rPr>
      </w:pPr>
      <w:bookmarkStart w:id="15" w:name="_Toc211422628"/>
      <w:r w:rsidRPr="00F16708">
        <w:rPr>
          <w:lang w:val="en-US"/>
        </w:rPr>
        <w:t>Regulatory changes</w:t>
      </w:r>
      <w:r w:rsidR="00350605">
        <w:rPr>
          <w:lang w:val="en-US"/>
        </w:rPr>
        <w:t xml:space="preserve"> </w:t>
      </w:r>
      <w:r w:rsidRPr="00F16708">
        <w:rPr>
          <w:lang w:val="en-US"/>
        </w:rPr>
        <w:t>aim to protect our</w:t>
      </w:r>
      <w:r w:rsidR="00350605">
        <w:rPr>
          <w:lang w:val="en-US"/>
        </w:rPr>
        <w:t xml:space="preserve"> </w:t>
      </w:r>
      <w:r w:rsidRPr="00F16708">
        <w:rPr>
          <w:lang w:val="en-US"/>
        </w:rPr>
        <w:t>public places</w:t>
      </w:r>
      <w:bookmarkEnd w:id="15"/>
    </w:p>
    <w:p w14:paraId="38415010" w14:textId="75C669A0" w:rsidR="00F16708" w:rsidRPr="00F16708" w:rsidRDefault="00F16708" w:rsidP="00F16708">
      <w:pPr>
        <w:rPr>
          <w:sz w:val="24"/>
          <w:szCs w:val="24"/>
          <w:lang w:val="en-US"/>
        </w:rPr>
      </w:pPr>
      <w:r w:rsidRPr="00F16708">
        <w:rPr>
          <w:sz w:val="24"/>
          <w:szCs w:val="24"/>
          <w:lang w:val="en-US"/>
        </w:rPr>
        <w:t xml:space="preserve">QLDC’s functions include regulatory roles and responsibilities. Under the Local Government Act 2002, council can make bylaws for reasons such protecting the public from nuisance, protecting, promoting and maintaining public health and safety, or </w:t>
      </w:r>
      <w:proofErr w:type="spellStart"/>
      <w:r w:rsidRPr="00F16708">
        <w:rPr>
          <w:sz w:val="24"/>
          <w:szCs w:val="24"/>
          <w:lang w:val="en-US"/>
        </w:rPr>
        <w:t>minimising</w:t>
      </w:r>
      <w:proofErr w:type="spellEnd"/>
      <w:r w:rsidRPr="00F16708">
        <w:rPr>
          <w:sz w:val="24"/>
          <w:szCs w:val="24"/>
          <w:lang w:val="en-US"/>
        </w:rPr>
        <w:t xml:space="preserve"> the potential for offensive </w:t>
      </w:r>
      <w:proofErr w:type="spellStart"/>
      <w:r w:rsidRPr="00F16708">
        <w:rPr>
          <w:sz w:val="24"/>
          <w:szCs w:val="24"/>
          <w:lang w:val="en-US"/>
        </w:rPr>
        <w:t>behaviour</w:t>
      </w:r>
      <w:proofErr w:type="spellEnd"/>
      <w:r w:rsidRPr="00F16708">
        <w:rPr>
          <w:sz w:val="24"/>
          <w:szCs w:val="24"/>
          <w:lang w:val="en-US"/>
        </w:rPr>
        <w:t xml:space="preserve"> in public places</w:t>
      </w:r>
      <w:r w:rsidR="00350605">
        <w:rPr>
          <w:rStyle w:val="FootnoteReference"/>
          <w:sz w:val="24"/>
          <w:szCs w:val="24"/>
          <w:lang w:val="en-US"/>
        </w:rPr>
        <w:footnoteReference w:id="35"/>
      </w:r>
      <w:r w:rsidRPr="00F16708">
        <w:rPr>
          <w:sz w:val="24"/>
          <w:szCs w:val="24"/>
          <w:lang w:val="en-US"/>
        </w:rPr>
        <w:t xml:space="preserve">. QLDC has several </w:t>
      </w:r>
      <w:r w:rsidRPr="00F16708">
        <w:rPr>
          <w:sz w:val="24"/>
          <w:szCs w:val="24"/>
          <w:lang w:val="en-US"/>
        </w:rPr>
        <w:lastRenderedPageBreak/>
        <w:t xml:space="preserve">existing bylaws that must be regularly reviewed to ensure they are current and fit for purpose in a rapidly changing context. Earlier in 2025, the Council adopted a new Navigation Safety Bylaw | </w:t>
      </w:r>
      <w:proofErr w:type="spellStart"/>
      <w:r w:rsidRPr="00F16708">
        <w:rPr>
          <w:sz w:val="24"/>
          <w:szCs w:val="24"/>
          <w:lang w:val="en-US"/>
        </w:rPr>
        <w:t>Te</w:t>
      </w:r>
      <w:proofErr w:type="spellEnd"/>
      <w:r w:rsidRPr="00F16708">
        <w:rPr>
          <w:sz w:val="24"/>
          <w:szCs w:val="24"/>
          <w:lang w:val="en-US"/>
        </w:rPr>
        <w:t xml:space="preserve"> Ture ā-Rohe </w:t>
      </w:r>
      <w:proofErr w:type="spellStart"/>
      <w:r w:rsidRPr="00F16708">
        <w:rPr>
          <w:sz w:val="24"/>
          <w:szCs w:val="24"/>
          <w:lang w:val="en-US"/>
        </w:rPr>
        <w:t>mō</w:t>
      </w:r>
      <w:proofErr w:type="spellEnd"/>
      <w:r w:rsidRPr="00F16708">
        <w:rPr>
          <w:sz w:val="24"/>
          <w:szCs w:val="24"/>
          <w:lang w:val="en-US"/>
        </w:rPr>
        <w:t xml:space="preserve"> </w:t>
      </w:r>
      <w:proofErr w:type="spellStart"/>
      <w:r w:rsidRPr="00F16708">
        <w:rPr>
          <w:sz w:val="24"/>
          <w:szCs w:val="24"/>
          <w:lang w:val="en-US"/>
        </w:rPr>
        <w:t>te</w:t>
      </w:r>
      <w:proofErr w:type="spellEnd"/>
      <w:r w:rsidRPr="00F16708">
        <w:rPr>
          <w:sz w:val="24"/>
          <w:szCs w:val="24"/>
          <w:lang w:val="en-US"/>
        </w:rPr>
        <w:t xml:space="preserve"> </w:t>
      </w:r>
      <w:proofErr w:type="spellStart"/>
      <w:r w:rsidRPr="00F16708">
        <w:rPr>
          <w:sz w:val="24"/>
          <w:szCs w:val="24"/>
          <w:lang w:val="en-US"/>
        </w:rPr>
        <w:t>Haumaru</w:t>
      </w:r>
      <w:proofErr w:type="spellEnd"/>
      <w:r w:rsidRPr="00F16708">
        <w:rPr>
          <w:sz w:val="24"/>
          <w:szCs w:val="24"/>
          <w:lang w:val="en-US"/>
        </w:rPr>
        <w:t xml:space="preserve"> </w:t>
      </w:r>
      <w:proofErr w:type="spellStart"/>
      <w:r w:rsidRPr="00F16708">
        <w:rPr>
          <w:sz w:val="24"/>
          <w:szCs w:val="24"/>
          <w:lang w:val="en-US"/>
        </w:rPr>
        <w:t>Whakatere</w:t>
      </w:r>
      <w:proofErr w:type="spellEnd"/>
      <w:r w:rsidR="00350605">
        <w:rPr>
          <w:rStyle w:val="FootnoteReference"/>
          <w:sz w:val="24"/>
          <w:szCs w:val="24"/>
          <w:lang w:val="en-US"/>
        </w:rPr>
        <w:footnoteReference w:id="36"/>
      </w:r>
      <w:r w:rsidRPr="00F16708">
        <w:rPr>
          <w:sz w:val="24"/>
          <w:szCs w:val="24"/>
          <w:lang w:val="en-US"/>
        </w:rPr>
        <w:t xml:space="preserve"> reinforcing its commitment to keeping the district’s lakes, rivers, and waterways safe for everyone to enjoy. The adoption of the bylaw marked the culmination of a comprehensive consultation process, which included a series of public meetings in September 2024, a submission period in October, and subsequent hearings and deliberations. The 2025 bylaw introduced key updates to enhance safety and improve the experience for all water users. </w:t>
      </w:r>
    </w:p>
    <w:p w14:paraId="3CA93B46" w14:textId="77777777" w:rsidR="00F16708" w:rsidRPr="00F16708" w:rsidRDefault="00F16708" w:rsidP="00F16708">
      <w:pPr>
        <w:rPr>
          <w:sz w:val="24"/>
          <w:szCs w:val="24"/>
          <w:lang w:val="en-US"/>
        </w:rPr>
      </w:pPr>
      <w:r w:rsidRPr="00F16708">
        <w:rPr>
          <w:sz w:val="24"/>
          <w:szCs w:val="24"/>
          <w:lang w:val="en-US"/>
        </w:rPr>
        <w:t xml:space="preserve">In September 2024, the Council’s decision to adopt the Freedom Camping Bylaw 2021 was ruled invalid, following a judicial review challenge by the New Zealand Motor Caravan Association (NZMCA). The </w:t>
      </w:r>
      <w:proofErr w:type="gramStart"/>
      <w:r w:rsidRPr="00F16708">
        <w:rPr>
          <w:sz w:val="24"/>
          <w:szCs w:val="24"/>
          <w:lang w:val="en-US"/>
        </w:rPr>
        <w:t>main focus</w:t>
      </w:r>
      <w:proofErr w:type="gramEnd"/>
      <w:r w:rsidRPr="00F16708">
        <w:rPr>
          <w:sz w:val="24"/>
          <w:szCs w:val="24"/>
          <w:lang w:val="en-US"/>
        </w:rPr>
        <w:t xml:space="preserve"> of the NZMCA challenge was on Council’s alleged consideration of irrelevant matters being the effects of freedom camping on </w:t>
      </w:r>
      <w:proofErr w:type="spellStart"/>
      <w:r w:rsidRPr="00F16708">
        <w:rPr>
          <w:sz w:val="24"/>
          <w:szCs w:val="24"/>
          <w:lang w:val="en-US"/>
        </w:rPr>
        <w:t>neighbouring</w:t>
      </w:r>
      <w:proofErr w:type="spellEnd"/>
      <w:r w:rsidRPr="00F16708">
        <w:rPr>
          <w:sz w:val="24"/>
          <w:szCs w:val="24"/>
          <w:lang w:val="en-US"/>
        </w:rPr>
        <w:t xml:space="preserve"> areas. The High Court ruled that these were irrelevant considerations. Whilst a disappointing outcome, work quickly began to review and develop a new Freedom Camping Bylaw for the district. The absence of a bylaw created some challenges during the summer 2024/2025 period with Council having to rely on other instruments such as the Reserves Act to enforce poor camping </w:t>
      </w:r>
      <w:proofErr w:type="spellStart"/>
      <w:r w:rsidRPr="00F16708">
        <w:rPr>
          <w:sz w:val="24"/>
          <w:szCs w:val="24"/>
          <w:lang w:val="en-US"/>
        </w:rPr>
        <w:t>behaviour</w:t>
      </w:r>
      <w:proofErr w:type="spellEnd"/>
      <w:r w:rsidRPr="00F16708">
        <w:rPr>
          <w:sz w:val="24"/>
          <w:szCs w:val="24"/>
          <w:lang w:val="en-US"/>
        </w:rPr>
        <w:t xml:space="preserve"> and unfortunately there was an increase in such conduct especially toward late summer. At the time of preparing this report, the Council has approved a draft bylaw for community consultation on that draft to take place in the latter half of 2025. The final bylaw is proposed to be considered by the Council at its meeting on 9 October.</w:t>
      </w:r>
    </w:p>
    <w:p w14:paraId="45460AB6" w14:textId="306D2338" w:rsidR="00F16708" w:rsidRPr="00F16708" w:rsidRDefault="00F16708" w:rsidP="00090821">
      <w:pPr>
        <w:pStyle w:val="Heading2"/>
        <w:rPr>
          <w:lang w:val="en-US"/>
        </w:rPr>
      </w:pPr>
      <w:bookmarkStart w:id="16" w:name="_Toc211422629"/>
      <w:r w:rsidRPr="00F16708">
        <w:rPr>
          <w:lang w:val="en-US"/>
        </w:rPr>
        <w:t>Planning and</w:t>
      </w:r>
      <w:r w:rsidR="00090821">
        <w:rPr>
          <w:lang w:val="en-US"/>
        </w:rPr>
        <w:t xml:space="preserve"> p</w:t>
      </w:r>
      <w:r w:rsidRPr="00F16708">
        <w:rPr>
          <w:lang w:val="en-US"/>
        </w:rPr>
        <w:t>reparing for our</w:t>
      </w:r>
      <w:r w:rsidR="00090821">
        <w:rPr>
          <w:lang w:val="en-US"/>
        </w:rPr>
        <w:t xml:space="preserve"> </w:t>
      </w:r>
      <w:r w:rsidRPr="00F16708">
        <w:rPr>
          <w:lang w:val="en-US"/>
        </w:rPr>
        <w:t>district’s growth</w:t>
      </w:r>
      <w:bookmarkEnd w:id="16"/>
    </w:p>
    <w:p w14:paraId="2B15B2AC" w14:textId="39A2DFE7" w:rsidR="00F16708" w:rsidRPr="00F16708" w:rsidRDefault="00F16708" w:rsidP="00F16708">
      <w:pPr>
        <w:rPr>
          <w:sz w:val="24"/>
          <w:szCs w:val="24"/>
          <w:lang w:val="en-US"/>
        </w:rPr>
      </w:pPr>
      <w:r w:rsidRPr="00F16708">
        <w:rPr>
          <w:sz w:val="24"/>
          <w:szCs w:val="24"/>
          <w:lang w:val="en-US"/>
        </w:rPr>
        <w:t xml:space="preserve">The ongoing review of the District Plan continues whilst the </w:t>
      </w:r>
      <w:proofErr w:type="spellStart"/>
      <w:r w:rsidRPr="00F16708">
        <w:rPr>
          <w:sz w:val="24"/>
          <w:szCs w:val="24"/>
          <w:lang w:val="en-US"/>
        </w:rPr>
        <w:t>organisation</w:t>
      </w:r>
      <w:proofErr w:type="spellEnd"/>
      <w:r w:rsidRPr="00F16708">
        <w:rPr>
          <w:sz w:val="24"/>
          <w:szCs w:val="24"/>
          <w:lang w:val="en-US"/>
        </w:rPr>
        <w:t xml:space="preserve"> works under two plans, the Operative District Plan and the Proposed District Plan</w:t>
      </w:r>
      <w:r w:rsidR="00090821">
        <w:rPr>
          <w:rStyle w:val="FootnoteReference"/>
          <w:sz w:val="24"/>
          <w:szCs w:val="24"/>
          <w:lang w:val="en-US"/>
        </w:rPr>
        <w:footnoteReference w:id="37"/>
      </w:r>
      <w:r w:rsidRPr="00F16708">
        <w:rPr>
          <w:sz w:val="24"/>
          <w:szCs w:val="24"/>
          <w:lang w:val="en-US"/>
        </w:rPr>
        <w:t xml:space="preserve">. The review began back in 2015 setting out to provide a more accessible and transparent plan that provides more certainty to property owners and a clear strategic direction for the district as well as additional scope for intensification in suitable locations. Significant work has been undertaken through notifications, submissions, objections and appeals with many chapters of the District Plan now reviewed and ratified by the Council. </w:t>
      </w:r>
    </w:p>
    <w:p w14:paraId="7A74400E" w14:textId="4F2D0227" w:rsidR="00F16708" w:rsidRPr="00F16708" w:rsidRDefault="00F16708" w:rsidP="00F16708">
      <w:pPr>
        <w:rPr>
          <w:sz w:val="24"/>
          <w:szCs w:val="24"/>
          <w:lang w:val="en-US"/>
        </w:rPr>
      </w:pPr>
      <w:proofErr w:type="spellStart"/>
      <w:r w:rsidRPr="00F16708">
        <w:rPr>
          <w:sz w:val="24"/>
          <w:szCs w:val="24"/>
          <w:lang w:val="en-US"/>
        </w:rPr>
        <w:t>Recognising</w:t>
      </w:r>
      <w:proofErr w:type="spellEnd"/>
      <w:r w:rsidRPr="00F16708">
        <w:rPr>
          <w:sz w:val="24"/>
          <w:szCs w:val="24"/>
          <w:lang w:val="en-US"/>
        </w:rPr>
        <w:t xml:space="preserve"> the world of dual District Plans can be challenging to navigate, in late 2024 QLDC launched </w:t>
      </w:r>
      <w:proofErr w:type="spellStart"/>
      <w:r w:rsidRPr="00F16708">
        <w:rPr>
          <w:sz w:val="24"/>
          <w:szCs w:val="24"/>
          <w:lang w:val="en-US"/>
        </w:rPr>
        <w:t>ePlans</w:t>
      </w:r>
      <w:proofErr w:type="spellEnd"/>
      <w:r w:rsidR="00090821">
        <w:rPr>
          <w:rStyle w:val="FootnoteReference"/>
          <w:sz w:val="24"/>
          <w:szCs w:val="24"/>
          <w:lang w:val="en-US"/>
        </w:rPr>
        <w:footnoteReference w:id="38"/>
      </w:r>
      <w:r w:rsidRPr="00F16708">
        <w:rPr>
          <w:sz w:val="24"/>
          <w:szCs w:val="24"/>
          <w:lang w:val="en-US"/>
        </w:rPr>
        <w:t xml:space="preserve">. There’s a specific </w:t>
      </w:r>
      <w:proofErr w:type="spellStart"/>
      <w:r w:rsidRPr="00F16708">
        <w:rPr>
          <w:sz w:val="24"/>
          <w:szCs w:val="24"/>
          <w:lang w:val="en-US"/>
        </w:rPr>
        <w:t>ePlan</w:t>
      </w:r>
      <w:proofErr w:type="spellEnd"/>
      <w:r w:rsidRPr="00F16708">
        <w:rPr>
          <w:sz w:val="24"/>
          <w:szCs w:val="24"/>
          <w:lang w:val="en-US"/>
        </w:rPr>
        <w:t xml:space="preserve"> for the Operative District Plan and one for the Proposed District Plan. They’re hosted online, easier to use, and provide better </w:t>
      </w:r>
      <w:proofErr w:type="gramStart"/>
      <w:r w:rsidRPr="00F16708">
        <w:rPr>
          <w:sz w:val="24"/>
          <w:szCs w:val="24"/>
          <w:lang w:val="en-US"/>
        </w:rPr>
        <w:t>functionality</w:t>
      </w:r>
      <w:proofErr w:type="gramEnd"/>
      <w:r w:rsidRPr="00F16708">
        <w:rPr>
          <w:sz w:val="24"/>
          <w:szCs w:val="24"/>
          <w:lang w:val="en-US"/>
        </w:rPr>
        <w:t xml:space="preserve"> for all users. Using these new plans, users can see all the plan provisions that apply to a property in one single place, instead of having to switch between online maps and multiple PDFs and chapters. These new plans are compliant </w:t>
      </w:r>
      <w:r w:rsidRPr="00F16708">
        <w:rPr>
          <w:sz w:val="24"/>
          <w:szCs w:val="24"/>
          <w:lang w:val="en-US"/>
        </w:rPr>
        <w:lastRenderedPageBreak/>
        <w:t xml:space="preserve">with central government’s National Planning Standards. Significant variations in the District Plan have also passed numerous milestones. </w:t>
      </w:r>
    </w:p>
    <w:p w14:paraId="58CA558A" w14:textId="72A65BDB" w:rsidR="00F16708" w:rsidRPr="00F16708" w:rsidRDefault="00F16708" w:rsidP="00F16708">
      <w:pPr>
        <w:rPr>
          <w:sz w:val="24"/>
          <w:szCs w:val="24"/>
          <w:lang w:val="en-US"/>
        </w:rPr>
      </w:pPr>
      <w:r w:rsidRPr="00F16708">
        <w:rPr>
          <w:sz w:val="24"/>
          <w:szCs w:val="24"/>
          <w:lang w:val="en-US"/>
        </w:rPr>
        <w:t xml:space="preserve">In November 2024, QLDC’s </w:t>
      </w:r>
      <w:proofErr w:type="spellStart"/>
      <w:r w:rsidRPr="00F16708">
        <w:rPr>
          <w:sz w:val="24"/>
          <w:szCs w:val="24"/>
          <w:lang w:val="en-US"/>
        </w:rPr>
        <w:t>Te</w:t>
      </w:r>
      <w:proofErr w:type="spellEnd"/>
      <w:r w:rsidRPr="00F16708">
        <w:rPr>
          <w:sz w:val="24"/>
          <w:szCs w:val="24"/>
          <w:lang w:val="en-US"/>
        </w:rPr>
        <w:t xml:space="preserve"> </w:t>
      </w:r>
      <w:proofErr w:type="spellStart"/>
      <w:r w:rsidRPr="00F16708">
        <w:rPr>
          <w:sz w:val="24"/>
          <w:szCs w:val="24"/>
          <w:lang w:val="en-US"/>
        </w:rPr>
        <w:t>Pūtahi</w:t>
      </w:r>
      <w:proofErr w:type="spellEnd"/>
      <w:r w:rsidRPr="00F16708">
        <w:rPr>
          <w:sz w:val="24"/>
          <w:szCs w:val="24"/>
          <w:lang w:val="en-US"/>
        </w:rPr>
        <w:t xml:space="preserve"> Ladies Mile streamlined planning process Variation was approved by Minister for the Environment, Penny Simmonds. Housing continues to be one of the biggest challenges faced in the district, and </w:t>
      </w:r>
      <w:proofErr w:type="spellStart"/>
      <w:r w:rsidRPr="00F16708">
        <w:rPr>
          <w:sz w:val="24"/>
          <w:szCs w:val="24"/>
          <w:lang w:val="en-US"/>
        </w:rPr>
        <w:t>Te</w:t>
      </w:r>
      <w:proofErr w:type="spellEnd"/>
      <w:r w:rsidRPr="00F16708">
        <w:rPr>
          <w:sz w:val="24"/>
          <w:szCs w:val="24"/>
          <w:lang w:val="en-US"/>
        </w:rPr>
        <w:t xml:space="preserve"> </w:t>
      </w:r>
      <w:proofErr w:type="spellStart"/>
      <w:r w:rsidRPr="00F16708">
        <w:rPr>
          <w:sz w:val="24"/>
          <w:szCs w:val="24"/>
          <w:lang w:val="en-US"/>
        </w:rPr>
        <w:t>Pūtahi</w:t>
      </w:r>
      <w:proofErr w:type="spellEnd"/>
      <w:r w:rsidRPr="00F16708">
        <w:rPr>
          <w:sz w:val="24"/>
          <w:szCs w:val="24"/>
          <w:lang w:val="en-US"/>
        </w:rPr>
        <w:t xml:space="preserve"> Ladies Mile Variation</w:t>
      </w:r>
      <w:r w:rsidR="00090821">
        <w:rPr>
          <w:rStyle w:val="FootnoteReference"/>
          <w:sz w:val="24"/>
          <w:szCs w:val="24"/>
          <w:lang w:val="en-US"/>
        </w:rPr>
        <w:footnoteReference w:id="39"/>
      </w:r>
      <w:r w:rsidRPr="00F16708">
        <w:rPr>
          <w:sz w:val="24"/>
          <w:szCs w:val="24"/>
          <w:lang w:val="en-US"/>
        </w:rPr>
        <w:t xml:space="preserve"> ensures more land is available to be developed sustainably to accommodate increased density and more affordable housing options for our current and future residents. The Variation was one mechanism through which Council could help to address Queenstown’s pressing housing needs, and in a way that reflects the diversity of residents needed to support economic growth without impacting negatively on the environment. </w:t>
      </w:r>
      <w:proofErr w:type="spellStart"/>
      <w:r w:rsidRPr="00F16708">
        <w:rPr>
          <w:sz w:val="24"/>
          <w:szCs w:val="24"/>
          <w:lang w:val="en-US"/>
        </w:rPr>
        <w:t>Te</w:t>
      </w:r>
      <w:proofErr w:type="spellEnd"/>
      <w:r w:rsidRPr="00F16708">
        <w:rPr>
          <w:sz w:val="24"/>
          <w:szCs w:val="24"/>
          <w:lang w:val="en-US"/>
        </w:rPr>
        <w:t xml:space="preserve"> </w:t>
      </w:r>
      <w:proofErr w:type="spellStart"/>
      <w:r w:rsidRPr="00F16708">
        <w:rPr>
          <w:sz w:val="24"/>
          <w:szCs w:val="24"/>
          <w:lang w:val="en-US"/>
        </w:rPr>
        <w:t>Pūtahi</w:t>
      </w:r>
      <w:proofErr w:type="spellEnd"/>
      <w:r w:rsidRPr="00F16708">
        <w:rPr>
          <w:sz w:val="24"/>
          <w:szCs w:val="24"/>
          <w:lang w:val="en-US"/>
        </w:rPr>
        <w:t xml:space="preserve"> Ladies Mile is also acknowledged as one of the Priority Areas earmarked for development in the Queenstown Lakes Spatial Plan. In </w:t>
      </w:r>
      <w:proofErr w:type="spellStart"/>
      <w:r w:rsidRPr="00F16708">
        <w:rPr>
          <w:sz w:val="24"/>
          <w:szCs w:val="24"/>
          <w:lang w:val="en-US"/>
        </w:rPr>
        <w:t>mid 2024</w:t>
      </w:r>
      <w:proofErr w:type="spellEnd"/>
      <w:r w:rsidRPr="00F16708">
        <w:rPr>
          <w:sz w:val="24"/>
          <w:szCs w:val="24"/>
          <w:lang w:val="en-US"/>
        </w:rPr>
        <w:t xml:space="preserve">, the Council gave approval to notify a variation to the Proposed District Plan to introduce additional landscape schedules in the Upper Clutha. Introducing schedules for one Outstanding Natural Feature (ONF) and 12 Rural Character Landscapes (RCL) located around </w:t>
      </w:r>
      <w:proofErr w:type="spellStart"/>
      <w:r w:rsidRPr="00F16708">
        <w:rPr>
          <w:sz w:val="24"/>
          <w:szCs w:val="24"/>
          <w:lang w:val="en-US"/>
        </w:rPr>
        <w:t>Wānaka</w:t>
      </w:r>
      <w:proofErr w:type="spellEnd"/>
      <w:r w:rsidRPr="00F16708">
        <w:rPr>
          <w:sz w:val="24"/>
          <w:szCs w:val="24"/>
          <w:lang w:val="en-US"/>
        </w:rPr>
        <w:t xml:space="preserve">, Hāwea, </w:t>
      </w:r>
      <w:proofErr w:type="spellStart"/>
      <w:r w:rsidRPr="00F16708">
        <w:rPr>
          <w:sz w:val="24"/>
          <w:szCs w:val="24"/>
          <w:lang w:val="en-US"/>
        </w:rPr>
        <w:t>Luggate</w:t>
      </w:r>
      <w:proofErr w:type="spellEnd"/>
      <w:r w:rsidRPr="00F16708">
        <w:rPr>
          <w:sz w:val="24"/>
          <w:szCs w:val="24"/>
          <w:lang w:val="en-US"/>
        </w:rPr>
        <w:t xml:space="preserve">, and other parts of the Upper Clutha, these schedules would be used to outline the values of identified landscapes, and to help provide clarity on what needs to be protected, maintained, or enhanced in these areas. A period of further submissions concluded in March 2025. Timing has yet to be confirmed for this Variation to come back to the Council for a final decision. </w:t>
      </w:r>
    </w:p>
    <w:p w14:paraId="65408418" w14:textId="49ADFFD0" w:rsidR="00F16708" w:rsidRPr="00F16708" w:rsidRDefault="00F16708" w:rsidP="00F16708">
      <w:pPr>
        <w:rPr>
          <w:sz w:val="24"/>
          <w:szCs w:val="24"/>
          <w:lang w:val="en-US"/>
        </w:rPr>
      </w:pPr>
      <w:r w:rsidRPr="00F16708">
        <w:rPr>
          <w:sz w:val="24"/>
          <w:szCs w:val="24"/>
          <w:lang w:val="en-US"/>
        </w:rPr>
        <w:t xml:space="preserve">Council has also continued work in drafting a structure plan for </w:t>
      </w:r>
      <w:proofErr w:type="spellStart"/>
      <w:r w:rsidRPr="00F16708">
        <w:rPr>
          <w:sz w:val="24"/>
          <w:szCs w:val="24"/>
          <w:lang w:val="en-US"/>
        </w:rPr>
        <w:t>Te</w:t>
      </w:r>
      <w:proofErr w:type="spellEnd"/>
      <w:r w:rsidRPr="00F16708">
        <w:rPr>
          <w:sz w:val="24"/>
          <w:szCs w:val="24"/>
          <w:lang w:val="en-US"/>
        </w:rPr>
        <w:t xml:space="preserve"> </w:t>
      </w:r>
      <w:proofErr w:type="spellStart"/>
      <w:r w:rsidRPr="00F16708">
        <w:rPr>
          <w:sz w:val="24"/>
          <w:szCs w:val="24"/>
          <w:lang w:val="en-US"/>
        </w:rPr>
        <w:t>Tapuae</w:t>
      </w:r>
      <w:proofErr w:type="spellEnd"/>
      <w:r w:rsidRPr="00F16708">
        <w:rPr>
          <w:sz w:val="24"/>
          <w:szCs w:val="24"/>
          <w:lang w:val="en-US"/>
        </w:rPr>
        <w:t xml:space="preserve"> Southern Corridor</w:t>
      </w:r>
      <w:r w:rsidR="000E51C5">
        <w:rPr>
          <w:rStyle w:val="FootnoteReference"/>
          <w:sz w:val="24"/>
          <w:szCs w:val="24"/>
          <w:lang w:val="en-US"/>
        </w:rPr>
        <w:footnoteReference w:id="40"/>
      </w:r>
      <w:r w:rsidRPr="00F16708">
        <w:rPr>
          <w:sz w:val="24"/>
          <w:szCs w:val="24"/>
          <w:lang w:val="en-US"/>
        </w:rPr>
        <w:t xml:space="preserve">, the land that sits south of Kawarau River around Hanley’s Farm, Jack’s Point and Homestead Bay. It’s one of six Priority Development Areas identified in the Queenstown Lakes Spatial Plan. A structure plan guides development in an area to make sure it includes the infrastructure and services required, and to deliver what our community needs now, and will need in the future. Development of land in </w:t>
      </w:r>
      <w:proofErr w:type="spellStart"/>
      <w:r w:rsidRPr="00F16708">
        <w:rPr>
          <w:sz w:val="24"/>
          <w:szCs w:val="24"/>
          <w:lang w:val="en-US"/>
        </w:rPr>
        <w:t>Te</w:t>
      </w:r>
      <w:proofErr w:type="spellEnd"/>
      <w:r w:rsidRPr="00F16708">
        <w:rPr>
          <w:sz w:val="24"/>
          <w:szCs w:val="24"/>
          <w:lang w:val="en-US"/>
        </w:rPr>
        <w:t xml:space="preserve"> </w:t>
      </w:r>
      <w:proofErr w:type="spellStart"/>
      <w:r w:rsidRPr="00F16708">
        <w:rPr>
          <w:sz w:val="24"/>
          <w:szCs w:val="24"/>
          <w:lang w:val="en-US"/>
        </w:rPr>
        <w:t>Tapuae</w:t>
      </w:r>
      <w:proofErr w:type="spellEnd"/>
      <w:r w:rsidRPr="00F16708">
        <w:rPr>
          <w:sz w:val="24"/>
          <w:szCs w:val="24"/>
          <w:lang w:val="en-US"/>
        </w:rPr>
        <w:t xml:space="preserve"> Southern Corridor is already underway, from Jack’s Point through to Hanley’s Farm and Parkridge. Creating a structure plan will make sure the houses, parks and reserves, services, and infrastructure our community needs are all considered and factored into the future of the area. Updates on progress to develop the draft plan have been reported through Council’s Planning &amp; Strategy Committee and will be presented to the Council </w:t>
      </w:r>
      <w:proofErr w:type="gramStart"/>
      <w:r w:rsidRPr="00F16708">
        <w:rPr>
          <w:sz w:val="24"/>
          <w:szCs w:val="24"/>
          <w:lang w:val="en-US"/>
        </w:rPr>
        <w:t>at a later date</w:t>
      </w:r>
      <w:proofErr w:type="gramEnd"/>
      <w:r w:rsidRPr="00F16708">
        <w:rPr>
          <w:sz w:val="24"/>
          <w:szCs w:val="24"/>
          <w:lang w:val="en-US"/>
        </w:rPr>
        <w:t xml:space="preserve"> to consider its adoption. </w:t>
      </w:r>
    </w:p>
    <w:p w14:paraId="77187B4F" w14:textId="02CD2B85" w:rsidR="00F16708" w:rsidRPr="00F16708" w:rsidRDefault="00F16708" w:rsidP="00F16708">
      <w:pPr>
        <w:rPr>
          <w:sz w:val="24"/>
          <w:szCs w:val="24"/>
          <w:lang w:val="en-US"/>
        </w:rPr>
      </w:pPr>
      <w:r w:rsidRPr="00F16708">
        <w:rPr>
          <w:sz w:val="24"/>
          <w:szCs w:val="24"/>
          <w:lang w:val="en-US"/>
        </w:rPr>
        <w:t>Central Government’s Fast-Track Approvals Act</w:t>
      </w:r>
      <w:r w:rsidR="000E51C5">
        <w:rPr>
          <w:rStyle w:val="FootnoteReference"/>
          <w:sz w:val="24"/>
          <w:szCs w:val="24"/>
          <w:lang w:val="en-US"/>
        </w:rPr>
        <w:footnoteReference w:id="41"/>
      </w:r>
      <w:r w:rsidRPr="00F16708">
        <w:rPr>
          <w:sz w:val="24"/>
          <w:szCs w:val="24"/>
          <w:lang w:val="en-US"/>
        </w:rPr>
        <w:t xml:space="preserve"> came into force on 23 December 2024 as part of the coalition’s plan for its first 100 days in office. The Act was aimed at establishing a permanent fast-track regime that would make it easier and quicker to gain approvals for development and infrastructure projects that would deliver regional and national benefits. Of the 381 listed projects applications (which includes the 149 announced in the Fast Track Approvals Bill), 17 are within the Queenstown Lakes District area and are </w:t>
      </w:r>
      <w:proofErr w:type="gramStart"/>
      <w:r w:rsidRPr="00F16708">
        <w:rPr>
          <w:sz w:val="24"/>
          <w:szCs w:val="24"/>
          <w:lang w:val="en-US"/>
        </w:rPr>
        <w:t>requiring</w:t>
      </w:r>
      <w:proofErr w:type="gramEnd"/>
      <w:r w:rsidRPr="00F16708">
        <w:rPr>
          <w:sz w:val="24"/>
          <w:szCs w:val="24"/>
          <w:lang w:val="en-US"/>
        </w:rPr>
        <w:t xml:space="preserve"> the attention of Council’s planning teams to provide the </w:t>
      </w:r>
      <w:r w:rsidRPr="00F16708">
        <w:rPr>
          <w:sz w:val="24"/>
          <w:szCs w:val="24"/>
          <w:lang w:val="en-US"/>
        </w:rPr>
        <w:lastRenderedPageBreak/>
        <w:t>requested information. These applications are all driving by statutory timelines and processes and Council has limited ability to influence these applications beyond providing the information being sought by the expert panels convened by the Ministry for the Environment. In these processes, Council acts as an "affected party", with no decision-making role in the approval processes</w:t>
      </w:r>
      <w:r w:rsidR="000E51C5">
        <w:rPr>
          <w:rStyle w:val="FootnoteReference"/>
          <w:sz w:val="24"/>
          <w:szCs w:val="24"/>
          <w:lang w:val="en-US"/>
        </w:rPr>
        <w:footnoteReference w:id="42"/>
      </w:r>
      <w:r w:rsidRPr="00F16708">
        <w:rPr>
          <w:sz w:val="24"/>
          <w:szCs w:val="24"/>
          <w:lang w:val="en-US"/>
        </w:rPr>
        <w:t xml:space="preserve">. Applicants must consult with the Council during both the referral and substantive stages. The Council can recover reasonable consultation costs, including fees for consultants. Council will continue to respond to requests from the Ministry as these and future applications are progressed. </w:t>
      </w:r>
    </w:p>
    <w:p w14:paraId="013F89CD" w14:textId="5DD66123" w:rsidR="00F16708" w:rsidRPr="00F16708" w:rsidRDefault="00F16708" w:rsidP="00F16708">
      <w:pPr>
        <w:rPr>
          <w:sz w:val="24"/>
          <w:szCs w:val="24"/>
          <w:lang w:val="en-US"/>
        </w:rPr>
      </w:pPr>
      <w:r w:rsidRPr="00F16708">
        <w:rPr>
          <w:sz w:val="24"/>
          <w:szCs w:val="24"/>
          <w:lang w:val="en-US"/>
        </w:rPr>
        <w:t>As highlighted earlier in this introduction, growth remains a significant challenge for Council. The average day population for the district is projected to increase from an estimated 81,660 people in 2025 to an estimated 104,108 in 2035</w:t>
      </w:r>
      <w:r w:rsidR="007D24BB">
        <w:rPr>
          <w:rStyle w:val="FootnoteReference"/>
          <w:sz w:val="24"/>
          <w:szCs w:val="24"/>
          <w:lang w:val="en-US"/>
        </w:rPr>
        <w:footnoteReference w:id="43"/>
      </w:r>
      <w:r w:rsidRPr="00F16708">
        <w:rPr>
          <w:sz w:val="24"/>
          <w:szCs w:val="24"/>
          <w:lang w:val="en-US"/>
        </w:rPr>
        <w:t xml:space="preserve">. This is a growth rate of 2.5% per annum. This consists of residents and visitors of all types. Reflective of this is the high volume of processing activity relating to resource and building consents. The resource consents team continues to achieve cost-effective and increasingly efficient resource consenting services for the community, including assisting with interdisciplinary QLDC projects and taskforce groups, while maintaining its role as one of the guardians of our unique environment. The resource consents team issued 983 decisions this year of which 94.75% were processed within required timeframes. For every month of the year the team achieved at least 90% or greater decisions processed within timeframes. </w:t>
      </w:r>
    </w:p>
    <w:p w14:paraId="7D9639F0" w14:textId="77777777" w:rsidR="00F16708" w:rsidRPr="00F16708" w:rsidRDefault="00F16708" w:rsidP="00F16708">
      <w:pPr>
        <w:rPr>
          <w:sz w:val="24"/>
          <w:szCs w:val="24"/>
          <w:lang w:val="en-US"/>
        </w:rPr>
      </w:pPr>
      <w:r w:rsidRPr="00F16708">
        <w:rPr>
          <w:sz w:val="24"/>
          <w:szCs w:val="24"/>
          <w:lang w:val="en-US"/>
        </w:rPr>
        <w:t xml:space="preserve">The building services team is responsible for ensuring buildings are constructed in a safe manner, and all aspects of the building code and the Building Act 2004 are complied with. This is achieved through the consenting and compliance process. This includes processing approximately 1,700 residential and commercial building consents (with a built value of over $1 billion) and undertaking 16,000 inspections annually. For financial year 2022-2023, QLDC processed 1,391 building consents with a consented value of $993M and undertook 18,000 inspections. QLDC ranked fourth in Aotearoa New Zealand for the total value of building consents issued and fifth for the number of building consents issued. </w:t>
      </w:r>
    </w:p>
    <w:p w14:paraId="515B55F8" w14:textId="65412711" w:rsidR="00F16708" w:rsidRPr="00F16708" w:rsidRDefault="00F16708" w:rsidP="007D24BB">
      <w:pPr>
        <w:pStyle w:val="Heading2"/>
        <w:rPr>
          <w:lang w:val="en-US"/>
        </w:rPr>
      </w:pPr>
      <w:bookmarkStart w:id="17" w:name="_Toc211422630"/>
      <w:r w:rsidRPr="00F16708">
        <w:rPr>
          <w:lang w:val="en-US"/>
        </w:rPr>
        <w:t>Creating welcoming</w:t>
      </w:r>
      <w:r w:rsidR="007D24BB">
        <w:rPr>
          <w:lang w:val="en-US"/>
        </w:rPr>
        <w:t xml:space="preserve"> </w:t>
      </w:r>
      <w:r w:rsidRPr="00F16708">
        <w:rPr>
          <w:lang w:val="en-US"/>
        </w:rPr>
        <w:t>communities</w:t>
      </w:r>
      <w:r w:rsidR="007D24BB">
        <w:rPr>
          <w:lang w:val="en-US"/>
        </w:rPr>
        <w:t xml:space="preserve"> </w:t>
      </w:r>
      <w:r w:rsidRPr="00F16708">
        <w:rPr>
          <w:lang w:val="en-US"/>
        </w:rPr>
        <w:t>and supporting</w:t>
      </w:r>
      <w:r w:rsidR="007D24BB">
        <w:rPr>
          <w:lang w:val="en-US"/>
        </w:rPr>
        <w:t xml:space="preserve"> </w:t>
      </w:r>
      <w:r w:rsidRPr="00F16708">
        <w:rPr>
          <w:lang w:val="en-US"/>
        </w:rPr>
        <w:t>community</w:t>
      </w:r>
      <w:r w:rsidR="007D24BB">
        <w:rPr>
          <w:lang w:val="en-US"/>
        </w:rPr>
        <w:t xml:space="preserve"> </w:t>
      </w:r>
      <w:r w:rsidRPr="00F16708">
        <w:rPr>
          <w:lang w:val="en-US"/>
        </w:rPr>
        <w:t>initiatives</w:t>
      </w:r>
      <w:bookmarkEnd w:id="17"/>
    </w:p>
    <w:p w14:paraId="37FDE156" w14:textId="77777777" w:rsidR="00F16708" w:rsidRPr="00F16708" w:rsidRDefault="00F16708" w:rsidP="00F16708">
      <w:pPr>
        <w:rPr>
          <w:sz w:val="24"/>
          <w:szCs w:val="24"/>
          <w:lang w:val="en-US"/>
        </w:rPr>
      </w:pPr>
      <w:r w:rsidRPr="00F16708">
        <w:rPr>
          <w:sz w:val="24"/>
          <w:szCs w:val="24"/>
          <w:lang w:val="en-US"/>
        </w:rPr>
        <w:t xml:space="preserve">Over many decades, Queenstown Lakes has welcomed waves of migrants from different parts of the world, as well as from all over Aotearoa New Zealand, producing diverse and vibrant local communities. In recent years, the rapid growth of our district has changed the makeup of our communities. The traditional terms of local, visitor and worker are no longer sufficient, as there is far more diversity and richness in the whakapapa of our district. </w:t>
      </w:r>
    </w:p>
    <w:p w14:paraId="21BA7CB5" w14:textId="2AA59635" w:rsidR="00F16708" w:rsidRPr="00F16708" w:rsidRDefault="00F16708" w:rsidP="00F16708">
      <w:pPr>
        <w:rPr>
          <w:sz w:val="24"/>
          <w:szCs w:val="24"/>
          <w:lang w:val="en-US"/>
        </w:rPr>
      </w:pPr>
      <w:r w:rsidRPr="00F16708">
        <w:rPr>
          <w:sz w:val="24"/>
          <w:szCs w:val="24"/>
          <w:lang w:val="en-US"/>
        </w:rPr>
        <w:lastRenderedPageBreak/>
        <w:t xml:space="preserve">QLDC is proud to be a part of Welcoming Communities | </w:t>
      </w:r>
      <w:proofErr w:type="spellStart"/>
      <w:r w:rsidRPr="00F16708">
        <w:rPr>
          <w:sz w:val="24"/>
          <w:szCs w:val="24"/>
          <w:lang w:val="en-US"/>
        </w:rPr>
        <w:t>Te</w:t>
      </w:r>
      <w:proofErr w:type="spellEnd"/>
      <w:r w:rsidRPr="00F16708">
        <w:rPr>
          <w:sz w:val="24"/>
          <w:szCs w:val="24"/>
          <w:lang w:val="en-US"/>
        </w:rPr>
        <w:t xml:space="preserve"> </w:t>
      </w:r>
      <w:proofErr w:type="spellStart"/>
      <w:r w:rsidRPr="00F16708">
        <w:rPr>
          <w:sz w:val="24"/>
          <w:szCs w:val="24"/>
          <w:lang w:val="en-US"/>
        </w:rPr>
        <w:t>Waharoa</w:t>
      </w:r>
      <w:proofErr w:type="spellEnd"/>
      <w:r w:rsidRPr="00F16708">
        <w:rPr>
          <w:sz w:val="24"/>
          <w:szCs w:val="24"/>
          <w:lang w:val="en-US"/>
        </w:rPr>
        <w:t xml:space="preserve"> ki </w:t>
      </w:r>
      <w:proofErr w:type="spellStart"/>
      <w:r w:rsidRPr="00F16708">
        <w:rPr>
          <w:sz w:val="24"/>
          <w:szCs w:val="24"/>
          <w:lang w:val="en-US"/>
        </w:rPr>
        <w:t>ngā</w:t>
      </w:r>
      <w:proofErr w:type="spellEnd"/>
      <w:r w:rsidRPr="00F16708">
        <w:rPr>
          <w:sz w:val="24"/>
          <w:szCs w:val="24"/>
          <w:lang w:val="en-US"/>
        </w:rPr>
        <w:t xml:space="preserve"> </w:t>
      </w:r>
      <w:proofErr w:type="spellStart"/>
      <w:r w:rsidRPr="00F16708">
        <w:rPr>
          <w:sz w:val="24"/>
          <w:szCs w:val="24"/>
          <w:lang w:val="en-US"/>
        </w:rPr>
        <w:t>Hapori</w:t>
      </w:r>
      <w:proofErr w:type="spellEnd"/>
      <w:r w:rsidRPr="00F16708">
        <w:rPr>
          <w:sz w:val="24"/>
          <w:szCs w:val="24"/>
          <w:lang w:val="en-US"/>
        </w:rPr>
        <w:t xml:space="preserve">, a </w:t>
      </w:r>
      <w:proofErr w:type="spellStart"/>
      <w:r w:rsidRPr="00F16708">
        <w:rPr>
          <w:sz w:val="24"/>
          <w:szCs w:val="24"/>
          <w:lang w:val="en-US"/>
        </w:rPr>
        <w:t>programme</w:t>
      </w:r>
      <w:proofErr w:type="spellEnd"/>
      <w:r w:rsidRPr="00F16708">
        <w:rPr>
          <w:sz w:val="24"/>
          <w:szCs w:val="24"/>
          <w:lang w:val="en-US"/>
        </w:rPr>
        <w:t xml:space="preserve"> to support newcomers to feel welcome and able to participate in the economic, civic, cultural and social life of their new community</w:t>
      </w:r>
      <w:r w:rsidR="007D24BB">
        <w:rPr>
          <w:rStyle w:val="FootnoteReference"/>
          <w:sz w:val="24"/>
          <w:szCs w:val="24"/>
          <w:lang w:val="en-US"/>
        </w:rPr>
        <w:footnoteReference w:id="44"/>
      </w:r>
      <w:r w:rsidRPr="00F16708">
        <w:rPr>
          <w:sz w:val="24"/>
          <w:szCs w:val="24"/>
          <w:lang w:val="en-US"/>
        </w:rPr>
        <w:t xml:space="preserve">. QLDC met the requirements to be accredited as an Established Welcoming Community in December 2024. This is stage two of four accreditation levels within the Welcoming Communities </w:t>
      </w:r>
      <w:proofErr w:type="spellStart"/>
      <w:r w:rsidRPr="00F16708">
        <w:rPr>
          <w:sz w:val="24"/>
          <w:szCs w:val="24"/>
          <w:lang w:val="en-US"/>
        </w:rPr>
        <w:t>programme</w:t>
      </w:r>
      <w:proofErr w:type="spellEnd"/>
      <w:r w:rsidRPr="00F16708">
        <w:rPr>
          <w:sz w:val="24"/>
          <w:szCs w:val="24"/>
          <w:lang w:val="en-US"/>
        </w:rPr>
        <w:t xml:space="preserve"> which include – Committed, Established, Advanced and Excelling. In September 2024, the Community &amp; Services Committee adopted the Queenstown Lakes District Welcoming Plan 2024-2027. </w:t>
      </w:r>
    </w:p>
    <w:p w14:paraId="0A4EE4C7" w14:textId="5416CB24" w:rsidR="00F16708" w:rsidRPr="00F16708" w:rsidRDefault="00F16708" w:rsidP="00F16708">
      <w:pPr>
        <w:rPr>
          <w:sz w:val="24"/>
          <w:szCs w:val="24"/>
          <w:lang w:val="en-US"/>
        </w:rPr>
      </w:pPr>
      <w:r w:rsidRPr="00F16708">
        <w:rPr>
          <w:sz w:val="24"/>
          <w:szCs w:val="24"/>
          <w:lang w:val="en-US"/>
        </w:rPr>
        <w:t xml:space="preserve">The Welcoming Plan identifies key actions to deliver on these, including proposed timeframes. It is a living document, where communities can take ownership, drive and adapt </w:t>
      </w:r>
      <w:proofErr w:type="gramStart"/>
      <w:r w:rsidRPr="00F16708">
        <w:rPr>
          <w:sz w:val="24"/>
          <w:szCs w:val="24"/>
          <w:lang w:val="en-US"/>
        </w:rPr>
        <w:t>the actions</w:t>
      </w:r>
      <w:proofErr w:type="gramEnd"/>
      <w:r w:rsidRPr="00F16708">
        <w:rPr>
          <w:sz w:val="24"/>
          <w:szCs w:val="24"/>
          <w:lang w:val="en-US"/>
        </w:rPr>
        <w:t xml:space="preserve"> to suit their needs. QLDC will continue to work with its partners to develop a funding strategy to continue the implementation and sustainability of the Welcoming Plan, including monitoring and measuring its impact. In April 2025, QLDC also released an updated Newcomers Guide</w:t>
      </w:r>
      <w:r w:rsidR="007D24BB">
        <w:rPr>
          <w:rStyle w:val="FootnoteReference"/>
          <w:sz w:val="24"/>
          <w:szCs w:val="24"/>
          <w:lang w:val="en-US"/>
        </w:rPr>
        <w:footnoteReference w:id="45"/>
      </w:r>
      <w:r w:rsidRPr="00F16708">
        <w:rPr>
          <w:sz w:val="24"/>
          <w:szCs w:val="24"/>
          <w:lang w:val="en-US"/>
        </w:rPr>
        <w:t xml:space="preserve"> filled with local resources and services to help new residents adjust to their chosen home here in Queenstown Lakes. Available online at the QLDC website, the guide provides valuable information on community life, housing, emergency preparedness, and local government. </w:t>
      </w:r>
    </w:p>
    <w:p w14:paraId="0FAB628A" w14:textId="6F2310C7" w:rsidR="00F16708" w:rsidRPr="00F16708" w:rsidRDefault="00F16708" w:rsidP="00F16708">
      <w:pPr>
        <w:rPr>
          <w:sz w:val="24"/>
          <w:szCs w:val="24"/>
          <w:lang w:val="en-US"/>
        </w:rPr>
      </w:pPr>
      <w:r w:rsidRPr="00F16708">
        <w:rPr>
          <w:sz w:val="24"/>
          <w:szCs w:val="24"/>
          <w:lang w:val="en-US"/>
        </w:rPr>
        <w:t>Council also continues to support community initiatives with a broad range of annual funding opportunities</w:t>
      </w:r>
      <w:r w:rsidR="007D24BB">
        <w:rPr>
          <w:rStyle w:val="FootnoteReference"/>
          <w:sz w:val="24"/>
          <w:szCs w:val="24"/>
          <w:lang w:val="en-US"/>
        </w:rPr>
        <w:footnoteReference w:id="46"/>
      </w:r>
      <w:r w:rsidRPr="00F16708">
        <w:rPr>
          <w:sz w:val="24"/>
          <w:szCs w:val="24"/>
          <w:lang w:val="en-US"/>
        </w:rPr>
        <w:t xml:space="preserve">. These include the Community Fund, Events Fund, Waste </w:t>
      </w:r>
      <w:proofErr w:type="spellStart"/>
      <w:r w:rsidRPr="00F16708">
        <w:rPr>
          <w:sz w:val="24"/>
          <w:szCs w:val="24"/>
          <w:lang w:val="en-US"/>
        </w:rPr>
        <w:t>Minimisation</w:t>
      </w:r>
      <w:proofErr w:type="spellEnd"/>
      <w:r w:rsidRPr="00F16708">
        <w:rPr>
          <w:sz w:val="24"/>
          <w:szCs w:val="24"/>
          <w:lang w:val="en-US"/>
        </w:rPr>
        <w:t xml:space="preserve"> Community Fund, Arts, Culture &amp; Heritage Fund, and the Get Active Community Grant. Assessing applications and approving fund allocations can be a challenging task, and the elected </w:t>
      </w:r>
      <w:proofErr w:type="spellStart"/>
      <w:r w:rsidRPr="00F16708">
        <w:rPr>
          <w:sz w:val="24"/>
          <w:szCs w:val="24"/>
          <w:lang w:val="en-US"/>
        </w:rPr>
        <w:t>councillors</w:t>
      </w:r>
      <w:proofErr w:type="spellEnd"/>
      <w:r w:rsidRPr="00F16708">
        <w:rPr>
          <w:sz w:val="24"/>
          <w:szCs w:val="24"/>
          <w:lang w:val="en-US"/>
        </w:rPr>
        <w:t xml:space="preserve"> spend many hours assessing applications, seeing presentations, and debating allocations. </w:t>
      </w:r>
    </w:p>
    <w:p w14:paraId="3CEFFD1C" w14:textId="77777777" w:rsidR="00F16708" w:rsidRPr="00F16708" w:rsidRDefault="00F16708" w:rsidP="00F16708">
      <w:pPr>
        <w:rPr>
          <w:sz w:val="24"/>
          <w:szCs w:val="24"/>
          <w:lang w:val="en-US"/>
        </w:rPr>
      </w:pPr>
      <w:r w:rsidRPr="00F16708">
        <w:rPr>
          <w:sz w:val="24"/>
          <w:szCs w:val="24"/>
          <w:lang w:val="en-US"/>
        </w:rPr>
        <w:t xml:space="preserve">In the last year, the Council has supported many worthy initiatives. In late 2024, thirteen waste reduction projects secured a share of the $60,000 Waste </w:t>
      </w:r>
      <w:proofErr w:type="spellStart"/>
      <w:r w:rsidRPr="00F16708">
        <w:rPr>
          <w:sz w:val="24"/>
          <w:szCs w:val="24"/>
          <w:lang w:val="en-US"/>
        </w:rPr>
        <w:t>Minimisation</w:t>
      </w:r>
      <w:proofErr w:type="spellEnd"/>
      <w:r w:rsidRPr="00F16708">
        <w:rPr>
          <w:sz w:val="24"/>
          <w:szCs w:val="24"/>
          <w:lang w:val="en-US"/>
        </w:rPr>
        <w:t xml:space="preserve"> Community Fund. Among the successful applicants is </w:t>
      </w:r>
      <w:proofErr w:type="spellStart"/>
      <w:r w:rsidRPr="00F16708">
        <w:rPr>
          <w:sz w:val="24"/>
          <w:szCs w:val="24"/>
          <w:lang w:val="en-US"/>
        </w:rPr>
        <w:t>Wānaka’s</w:t>
      </w:r>
      <w:proofErr w:type="spellEnd"/>
      <w:r w:rsidRPr="00F16708">
        <w:rPr>
          <w:sz w:val="24"/>
          <w:szCs w:val="24"/>
          <w:lang w:val="en-US"/>
        </w:rPr>
        <w:t xml:space="preserve"> Proficiency, whose project Brew &amp; Reuse transforms grain bags from the brewing process into reusable tote bags. After being sourced from breweries, the bags are thoroughly cleaned to remove residual grain. From there, 95% of the grain bag is cut to a pattern and sewn to make upcycled tote bags that are sturdy and spacious, for errands like grocery shopping. Further transformation in the district was </w:t>
      </w:r>
      <w:proofErr w:type="spellStart"/>
      <w:r w:rsidRPr="00F16708">
        <w:rPr>
          <w:sz w:val="24"/>
          <w:szCs w:val="24"/>
          <w:lang w:val="en-US"/>
        </w:rPr>
        <w:t>recognised</w:t>
      </w:r>
      <w:proofErr w:type="spellEnd"/>
      <w:r w:rsidRPr="00F16708">
        <w:rPr>
          <w:sz w:val="24"/>
          <w:szCs w:val="24"/>
          <w:lang w:val="en-US"/>
        </w:rPr>
        <w:t xml:space="preserve"> in a newly funded Tool Library at the </w:t>
      </w:r>
      <w:proofErr w:type="spellStart"/>
      <w:r w:rsidRPr="00F16708">
        <w:rPr>
          <w:sz w:val="24"/>
          <w:szCs w:val="24"/>
          <w:lang w:val="en-US"/>
        </w:rPr>
        <w:t>Wānaka</w:t>
      </w:r>
      <w:proofErr w:type="spellEnd"/>
      <w:r w:rsidRPr="00F16708">
        <w:rPr>
          <w:sz w:val="24"/>
          <w:szCs w:val="24"/>
          <w:lang w:val="en-US"/>
        </w:rPr>
        <w:t xml:space="preserve"> Community Workshop, while Naylor Love aimed to use its grant to reduce the amount of construction waste going to landfill and, in the process, transform industry and community mindsets. </w:t>
      </w:r>
    </w:p>
    <w:p w14:paraId="76F949B3" w14:textId="203EFC45" w:rsidR="00F16708" w:rsidRPr="00F16708" w:rsidRDefault="00F16708" w:rsidP="007D24BB">
      <w:pPr>
        <w:pStyle w:val="Heading2"/>
        <w:rPr>
          <w:lang w:val="en-US"/>
        </w:rPr>
      </w:pPr>
      <w:bookmarkStart w:id="18" w:name="_Toc211422631"/>
      <w:r w:rsidRPr="00F16708">
        <w:rPr>
          <w:lang w:val="en-US"/>
        </w:rPr>
        <w:t>Encouraging</w:t>
      </w:r>
      <w:r w:rsidR="007D24BB">
        <w:rPr>
          <w:lang w:val="en-US"/>
        </w:rPr>
        <w:t xml:space="preserve"> </w:t>
      </w:r>
      <w:r w:rsidRPr="00F16708">
        <w:rPr>
          <w:lang w:val="en-US"/>
        </w:rPr>
        <w:t>active and engaged</w:t>
      </w:r>
      <w:r w:rsidR="007D24BB">
        <w:rPr>
          <w:lang w:val="en-US"/>
        </w:rPr>
        <w:t xml:space="preserve"> </w:t>
      </w:r>
      <w:r w:rsidRPr="00F16708">
        <w:rPr>
          <w:lang w:val="en-US"/>
        </w:rPr>
        <w:t>communities</w:t>
      </w:r>
      <w:bookmarkEnd w:id="18"/>
    </w:p>
    <w:p w14:paraId="548D5070" w14:textId="77777777" w:rsidR="00F16708" w:rsidRPr="00F16708" w:rsidRDefault="00F16708" w:rsidP="00F16708">
      <w:pPr>
        <w:rPr>
          <w:sz w:val="24"/>
          <w:szCs w:val="24"/>
          <w:lang w:val="en-US"/>
        </w:rPr>
      </w:pPr>
      <w:r w:rsidRPr="00F16708">
        <w:rPr>
          <w:sz w:val="24"/>
          <w:szCs w:val="24"/>
          <w:lang w:val="en-US"/>
        </w:rPr>
        <w:t xml:space="preserve">QLDC is committed to supporting a balanced portfolio of events across the district, both commercial and </w:t>
      </w:r>
      <w:proofErr w:type="gramStart"/>
      <w:r w:rsidRPr="00F16708">
        <w:rPr>
          <w:sz w:val="24"/>
          <w:szCs w:val="24"/>
          <w:lang w:val="en-US"/>
        </w:rPr>
        <w:t>community-led</w:t>
      </w:r>
      <w:proofErr w:type="gramEnd"/>
      <w:r w:rsidRPr="00F16708">
        <w:rPr>
          <w:sz w:val="24"/>
          <w:szCs w:val="24"/>
          <w:lang w:val="en-US"/>
        </w:rPr>
        <w:t xml:space="preserve">. The 2024 Events Fund supported a broad range of events </w:t>
      </w:r>
      <w:proofErr w:type="gramStart"/>
      <w:r w:rsidRPr="00F16708">
        <w:rPr>
          <w:sz w:val="24"/>
          <w:szCs w:val="24"/>
          <w:lang w:val="en-US"/>
        </w:rPr>
        <w:t xml:space="preserve">from Queenstown Marathon and Challenge </w:t>
      </w:r>
      <w:proofErr w:type="spellStart"/>
      <w:r w:rsidRPr="00F16708">
        <w:rPr>
          <w:sz w:val="24"/>
          <w:szCs w:val="24"/>
          <w:lang w:val="en-US"/>
        </w:rPr>
        <w:t>Wānaka</w:t>
      </w:r>
      <w:proofErr w:type="spellEnd"/>
      <w:r w:rsidRPr="00F16708">
        <w:rPr>
          <w:sz w:val="24"/>
          <w:szCs w:val="24"/>
          <w:lang w:val="en-US"/>
        </w:rPr>
        <w:t>,</w:t>
      </w:r>
      <w:proofErr w:type="gramEnd"/>
      <w:r w:rsidRPr="00F16708">
        <w:rPr>
          <w:sz w:val="24"/>
          <w:szCs w:val="24"/>
          <w:lang w:val="en-US"/>
        </w:rPr>
        <w:t xml:space="preserve"> to the Arrowtown </w:t>
      </w:r>
      <w:r w:rsidRPr="00F16708">
        <w:rPr>
          <w:sz w:val="24"/>
          <w:szCs w:val="24"/>
          <w:lang w:val="en-US"/>
        </w:rPr>
        <w:lastRenderedPageBreak/>
        <w:t xml:space="preserve">Autumn Festival, Wao Summit, and OUT &amp; About </w:t>
      </w:r>
      <w:proofErr w:type="spellStart"/>
      <w:r w:rsidRPr="00F16708">
        <w:rPr>
          <w:sz w:val="24"/>
          <w:szCs w:val="24"/>
          <w:lang w:val="en-US"/>
        </w:rPr>
        <w:t>Wānaka</w:t>
      </w:r>
      <w:proofErr w:type="spellEnd"/>
      <w:r w:rsidRPr="00F16708">
        <w:rPr>
          <w:sz w:val="24"/>
          <w:szCs w:val="24"/>
          <w:lang w:val="en-US"/>
        </w:rPr>
        <w:t xml:space="preserve">. In total, twelve </w:t>
      </w:r>
      <w:proofErr w:type="spellStart"/>
      <w:r w:rsidRPr="00F16708">
        <w:rPr>
          <w:sz w:val="24"/>
          <w:szCs w:val="24"/>
          <w:lang w:val="en-US"/>
        </w:rPr>
        <w:t>organisations</w:t>
      </w:r>
      <w:proofErr w:type="spellEnd"/>
      <w:r w:rsidRPr="00F16708">
        <w:rPr>
          <w:sz w:val="24"/>
          <w:szCs w:val="24"/>
          <w:lang w:val="en-US"/>
        </w:rPr>
        <w:t xml:space="preserve"> received free passes to sport &amp; recreation facilities through the Get Active Community Grant. The community </w:t>
      </w:r>
      <w:proofErr w:type="spellStart"/>
      <w:r w:rsidRPr="00F16708">
        <w:rPr>
          <w:sz w:val="24"/>
          <w:szCs w:val="24"/>
          <w:lang w:val="en-US"/>
        </w:rPr>
        <w:t>organisations</w:t>
      </w:r>
      <w:proofErr w:type="spellEnd"/>
      <w:r w:rsidRPr="00F16708">
        <w:rPr>
          <w:sz w:val="24"/>
          <w:szCs w:val="24"/>
          <w:lang w:val="en-US"/>
        </w:rPr>
        <w:t xml:space="preserve"> receiving the grant included: ADL, Central Otago Living Options Charitable Trust, Community Link, Happiness House Trust, Japanese Family Society of Queenstown, </w:t>
      </w:r>
      <w:proofErr w:type="spellStart"/>
      <w:r w:rsidRPr="00F16708">
        <w:rPr>
          <w:sz w:val="24"/>
          <w:szCs w:val="24"/>
          <w:lang w:val="en-US"/>
        </w:rPr>
        <w:t>Kāhu</w:t>
      </w:r>
      <w:proofErr w:type="spellEnd"/>
      <w:r w:rsidRPr="00F16708">
        <w:rPr>
          <w:sz w:val="24"/>
          <w:szCs w:val="24"/>
          <w:lang w:val="en-US"/>
        </w:rPr>
        <w:t xml:space="preserve"> Youth Trust, MINT Charitable Trust, Pact, Remarkable Cancer Gym Charitable Trust, Wakatipu Senior Citizens Association, Wakatipu Youth Trust and the </w:t>
      </w:r>
      <w:proofErr w:type="spellStart"/>
      <w:r w:rsidRPr="00F16708">
        <w:rPr>
          <w:sz w:val="24"/>
          <w:szCs w:val="24"/>
          <w:lang w:val="en-US"/>
        </w:rPr>
        <w:t>Whakatipu</w:t>
      </w:r>
      <w:proofErr w:type="spellEnd"/>
      <w:r w:rsidRPr="00F16708">
        <w:rPr>
          <w:sz w:val="24"/>
          <w:szCs w:val="24"/>
          <w:lang w:val="en-US"/>
        </w:rPr>
        <w:t xml:space="preserve"> Buddy </w:t>
      </w:r>
      <w:proofErr w:type="spellStart"/>
      <w:r w:rsidRPr="00F16708">
        <w:rPr>
          <w:sz w:val="24"/>
          <w:szCs w:val="24"/>
          <w:lang w:val="en-US"/>
        </w:rPr>
        <w:t>Programme</w:t>
      </w:r>
      <w:proofErr w:type="spellEnd"/>
      <w:r w:rsidRPr="00F16708">
        <w:rPr>
          <w:sz w:val="24"/>
          <w:szCs w:val="24"/>
          <w:lang w:val="en-US"/>
        </w:rPr>
        <w:t xml:space="preserve">. </w:t>
      </w:r>
    </w:p>
    <w:p w14:paraId="4C53AEA1" w14:textId="1DD48529" w:rsidR="00F16708" w:rsidRPr="00F16708" w:rsidRDefault="00F16708" w:rsidP="00F16708">
      <w:pPr>
        <w:rPr>
          <w:sz w:val="24"/>
          <w:szCs w:val="24"/>
          <w:lang w:val="en-US"/>
        </w:rPr>
      </w:pPr>
      <w:r w:rsidRPr="00F16708">
        <w:rPr>
          <w:sz w:val="24"/>
          <w:szCs w:val="24"/>
          <w:lang w:val="en-US"/>
        </w:rPr>
        <w:t xml:space="preserve">For some time, Council has been considering the redevelopment of rezoned land at 101 Ballantyne Road as an opportunity to build a multi-use green space in the </w:t>
      </w:r>
      <w:proofErr w:type="spellStart"/>
      <w:r w:rsidRPr="00F16708">
        <w:rPr>
          <w:sz w:val="24"/>
          <w:szCs w:val="24"/>
          <w:lang w:val="en-US"/>
        </w:rPr>
        <w:t>Wānaka</w:t>
      </w:r>
      <w:proofErr w:type="spellEnd"/>
      <w:r w:rsidRPr="00F16708">
        <w:rPr>
          <w:sz w:val="24"/>
          <w:szCs w:val="24"/>
          <w:lang w:val="en-US"/>
        </w:rPr>
        <w:t xml:space="preserve"> area to support the changing and future needs of the growing community. A masterplan</w:t>
      </w:r>
      <w:r w:rsidR="007D24BB">
        <w:rPr>
          <w:rStyle w:val="FootnoteReference"/>
          <w:sz w:val="24"/>
          <w:szCs w:val="24"/>
          <w:lang w:val="en-US"/>
        </w:rPr>
        <w:footnoteReference w:id="47"/>
      </w:r>
      <w:r w:rsidRPr="00F16708">
        <w:rPr>
          <w:sz w:val="24"/>
          <w:szCs w:val="24"/>
          <w:lang w:val="en-US"/>
        </w:rPr>
        <w:t xml:space="preserve"> has been developed for the site, setting a clear path for the development of sport, recreation and open space facilities for the next 20 years, to complement existing facilities in the area. In October 2024, that project received the green light for faster remediation as the next step in making the masterplan a reality. The Council approved an agreement with a private landowner to remediate any contamination, complete earthworks using clean </w:t>
      </w:r>
      <w:proofErr w:type="gramStart"/>
      <w:r w:rsidRPr="00F16708">
        <w:rPr>
          <w:sz w:val="24"/>
          <w:szCs w:val="24"/>
          <w:lang w:val="en-US"/>
        </w:rPr>
        <w:t>fill</w:t>
      </w:r>
      <w:proofErr w:type="gramEnd"/>
      <w:r w:rsidRPr="00F16708">
        <w:rPr>
          <w:sz w:val="24"/>
          <w:szCs w:val="24"/>
          <w:lang w:val="en-US"/>
        </w:rPr>
        <w:t>, and grass the site. Whilst this work will not in itself create usable playing fields, it would in time help achieve the long-term vision of developing a Ballantyne Road Sports Hub for community use. At the same time, the Council agreed to bring forward just over $5M from Year 6 of the LTP as part of a capital reforecast. This will enable consenting aspects of the Ballantyne Road project to begin with work on site</w:t>
      </w:r>
      <w:proofErr w:type="gramStart"/>
      <w:r w:rsidRPr="00F16708">
        <w:rPr>
          <w:sz w:val="24"/>
          <w:szCs w:val="24"/>
          <w:lang w:val="en-US"/>
        </w:rPr>
        <w:t xml:space="preserve"> able</w:t>
      </w:r>
      <w:proofErr w:type="gramEnd"/>
      <w:r w:rsidRPr="00F16708">
        <w:rPr>
          <w:sz w:val="24"/>
          <w:szCs w:val="24"/>
          <w:lang w:val="en-US"/>
        </w:rPr>
        <w:t xml:space="preserve"> to start mid-2025. </w:t>
      </w:r>
    </w:p>
    <w:p w14:paraId="415F3D71" w14:textId="77777777" w:rsidR="00F16708" w:rsidRPr="00F16708" w:rsidRDefault="00F16708" w:rsidP="00F16708">
      <w:pPr>
        <w:rPr>
          <w:sz w:val="24"/>
          <w:szCs w:val="24"/>
          <w:lang w:val="en-US"/>
        </w:rPr>
      </w:pPr>
      <w:r w:rsidRPr="00F16708">
        <w:rPr>
          <w:sz w:val="24"/>
          <w:szCs w:val="24"/>
          <w:lang w:val="en-US"/>
        </w:rPr>
        <w:t xml:space="preserve">In adopting the LTP, Council also confirmed that it would bring forward investment in the </w:t>
      </w:r>
      <w:proofErr w:type="spellStart"/>
      <w:r w:rsidRPr="00F16708">
        <w:rPr>
          <w:sz w:val="24"/>
          <w:szCs w:val="24"/>
          <w:lang w:val="en-US"/>
        </w:rPr>
        <w:t>Whakatipu</w:t>
      </w:r>
      <w:proofErr w:type="spellEnd"/>
      <w:r w:rsidRPr="00F16708">
        <w:rPr>
          <w:sz w:val="24"/>
          <w:szCs w:val="24"/>
          <w:lang w:val="en-US"/>
        </w:rPr>
        <w:t xml:space="preserve"> where sports fields and community facilities have been under considerable pressure. The decision was to bring funding forward to 2025/2026 to deliver a community </w:t>
      </w:r>
      <w:proofErr w:type="spellStart"/>
      <w:r w:rsidRPr="00F16708">
        <w:rPr>
          <w:sz w:val="24"/>
          <w:szCs w:val="24"/>
          <w:lang w:val="en-US"/>
        </w:rPr>
        <w:t>centre</w:t>
      </w:r>
      <w:proofErr w:type="spellEnd"/>
      <w:r w:rsidRPr="00F16708">
        <w:rPr>
          <w:sz w:val="24"/>
          <w:szCs w:val="24"/>
          <w:lang w:val="en-US"/>
        </w:rPr>
        <w:t xml:space="preserve"> building (formerly the temporary hall in </w:t>
      </w:r>
      <w:proofErr w:type="spellStart"/>
      <w:r w:rsidRPr="00F16708">
        <w:rPr>
          <w:sz w:val="24"/>
          <w:szCs w:val="24"/>
          <w:lang w:val="en-US"/>
        </w:rPr>
        <w:t>Luggate</w:t>
      </w:r>
      <w:proofErr w:type="spellEnd"/>
      <w:r w:rsidRPr="00F16708">
        <w:rPr>
          <w:sz w:val="24"/>
          <w:szCs w:val="24"/>
          <w:lang w:val="en-US"/>
        </w:rPr>
        <w:t xml:space="preserve">), carpark and access extension, three sports fields, necessary site infrastructure services, and a toilet/ change block, at 516 Ladies Mile. Once complete, this facility will directly service the fast-growing areas of Lake Hayes Estate and </w:t>
      </w:r>
      <w:proofErr w:type="spellStart"/>
      <w:r w:rsidRPr="00F16708">
        <w:rPr>
          <w:sz w:val="24"/>
          <w:szCs w:val="24"/>
          <w:lang w:val="en-US"/>
        </w:rPr>
        <w:t>Shotover</w:t>
      </w:r>
      <w:proofErr w:type="spellEnd"/>
      <w:r w:rsidRPr="00F16708">
        <w:rPr>
          <w:sz w:val="24"/>
          <w:szCs w:val="24"/>
          <w:lang w:val="en-US"/>
        </w:rPr>
        <w:t xml:space="preserve"> Country and cater for growth in </w:t>
      </w:r>
      <w:proofErr w:type="spellStart"/>
      <w:r w:rsidRPr="00F16708">
        <w:rPr>
          <w:sz w:val="24"/>
          <w:szCs w:val="24"/>
          <w:lang w:val="en-US"/>
        </w:rPr>
        <w:t>Te</w:t>
      </w:r>
      <w:proofErr w:type="spellEnd"/>
      <w:r w:rsidRPr="00F16708">
        <w:rPr>
          <w:sz w:val="24"/>
          <w:szCs w:val="24"/>
          <w:lang w:val="en-US"/>
        </w:rPr>
        <w:t xml:space="preserve"> </w:t>
      </w:r>
      <w:proofErr w:type="spellStart"/>
      <w:r w:rsidRPr="00F16708">
        <w:rPr>
          <w:sz w:val="24"/>
          <w:szCs w:val="24"/>
          <w:lang w:val="en-US"/>
        </w:rPr>
        <w:t>Pūtahi</w:t>
      </w:r>
      <w:proofErr w:type="spellEnd"/>
      <w:r w:rsidRPr="00F16708">
        <w:rPr>
          <w:sz w:val="24"/>
          <w:szCs w:val="24"/>
          <w:lang w:val="en-US"/>
        </w:rPr>
        <w:t xml:space="preserve"> Ladies Mile when rezoning is approved in the future. It is also easily accessible to other areas across </w:t>
      </w:r>
      <w:proofErr w:type="spellStart"/>
      <w:r w:rsidRPr="00F16708">
        <w:rPr>
          <w:sz w:val="24"/>
          <w:szCs w:val="24"/>
          <w:lang w:val="en-US"/>
        </w:rPr>
        <w:t>Whakatipu</w:t>
      </w:r>
      <w:proofErr w:type="spellEnd"/>
      <w:r w:rsidRPr="00F16708">
        <w:rPr>
          <w:sz w:val="24"/>
          <w:szCs w:val="24"/>
          <w:lang w:val="en-US"/>
        </w:rPr>
        <w:t xml:space="preserve">. </w:t>
      </w:r>
    </w:p>
    <w:p w14:paraId="74F91F65" w14:textId="42327093" w:rsidR="00F16708" w:rsidRPr="00F16708" w:rsidRDefault="00F16708" w:rsidP="00A00DC3">
      <w:pPr>
        <w:pStyle w:val="Heading2"/>
        <w:rPr>
          <w:lang w:val="en-US"/>
        </w:rPr>
      </w:pPr>
      <w:bookmarkStart w:id="19" w:name="_Toc211422632"/>
      <w:r w:rsidRPr="00F16708">
        <w:rPr>
          <w:lang w:val="en-US"/>
        </w:rPr>
        <w:t>Addressing</w:t>
      </w:r>
      <w:r w:rsidR="00A00DC3">
        <w:rPr>
          <w:lang w:val="en-US"/>
        </w:rPr>
        <w:t xml:space="preserve"> </w:t>
      </w:r>
      <w:r w:rsidRPr="00F16708">
        <w:rPr>
          <w:lang w:val="en-US"/>
        </w:rPr>
        <w:t>disposal field issues</w:t>
      </w:r>
      <w:r w:rsidR="00A00DC3">
        <w:rPr>
          <w:lang w:val="en-US"/>
        </w:rPr>
        <w:t xml:space="preserve"> </w:t>
      </w:r>
      <w:r w:rsidRPr="00F16708">
        <w:rPr>
          <w:lang w:val="en-US"/>
        </w:rPr>
        <w:t xml:space="preserve">at the </w:t>
      </w:r>
      <w:proofErr w:type="spellStart"/>
      <w:r w:rsidRPr="00F16708">
        <w:rPr>
          <w:lang w:val="en-US"/>
        </w:rPr>
        <w:t>Shotover</w:t>
      </w:r>
      <w:proofErr w:type="spellEnd"/>
      <w:r w:rsidR="00A00DC3">
        <w:rPr>
          <w:lang w:val="en-US"/>
        </w:rPr>
        <w:t xml:space="preserve"> </w:t>
      </w:r>
      <w:r w:rsidRPr="00F16708">
        <w:rPr>
          <w:lang w:val="en-US"/>
        </w:rPr>
        <w:t>Wastewater</w:t>
      </w:r>
      <w:r w:rsidR="00A00DC3">
        <w:rPr>
          <w:lang w:val="en-US"/>
        </w:rPr>
        <w:t xml:space="preserve"> </w:t>
      </w:r>
      <w:r w:rsidRPr="00F16708">
        <w:rPr>
          <w:lang w:val="en-US"/>
        </w:rPr>
        <w:t>Treatment Plant</w:t>
      </w:r>
      <w:bookmarkEnd w:id="19"/>
    </w:p>
    <w:p w14:paraId="143666F2" w14:textId="765A7ADC" w:rsidR="00F16708" w:rsidRPr="00F16708" w:rsidRDefault="00F16708" w:rsidP="00F16708">
      <w:pPr>
        <w:rPr>
          <w:sz w:val="24"/>
          <w:szCs w:val="24"/>
          <w:lang w:val="en-US"/>
        </w:rPr>
      </w:pPr>
      <w:r w:rsidRPr="00F16708">
        <w:rPr>
          <w:sz w:val="24"/>
          <w:szCs w:val="24"/>
          <w:lang w:val="en-US"/>
        </w:rPr>
        <w:t xml:space="preserve">At the beginning of 2025, QLDC made the difficult decision to use powers under section 330/330A of the Resource Management Act 1991 (RMA) to undertake emergency works at the </w:t>
      </w:r>
      <w:proofErr w:type="spellStart"/>
      <w:r w:rsidRPr="00F16708">
        <w:rPr>
          <w:sz w:val="24"/>
          <w:szCs w:val="24"/>
          <w:lang w:val="en-US"/>
        </w:rPr>
        <w:t>Shotover</w:t>
      </w:r>
      <w:proofErr w:type="spellEnd"/>
      <w:r w:rsidRPr="00F16708">
        <w:rPr>
          <w:sz w:val="24"/>
          <w:szCs w:val="24"/>
          <w:lang w:val="en-US"/>
        </w:rPr>
        <w:t xml:space="preserve"> Wastewater Treatment Plant</w:t>
      </w:r>
      <w:r w:rsidR="00A00DC3">
        <w:rPr>
          <w:rStyle w:val="FootnoteReference"/>
          <w:sz w:val="24"/>
          <w:szCs w:val="24"/>
          <w:lang w:val="en-US"/>
        </w:rPr>
        <w:footnoteReference w:id="48"/>
      </w:r>
      <w:r w:rsidRPr="00F16708">
        <w:rPr>
          <w:sz w:val="24"/>
          <w:szCs w:val="24"/>
          <w:lang w:val="en-US"/>
        </w:rPr>
        <w:t xml:space="preserve">. The </w:t>
      </w:r>
      <w:proofErr w:type="gramStart"/>
      <w:r w:rsidRPr="00F16708">
        <w:rPr>
          <w:sz w:val="24"/>
          <w:szCs w:val="24"/>
          <w:lang w:val="en-US"/>
        </w:rPr>
        <w:t>works</w:t>
      </w:r>
      <w:proofErr w:type="gramEnd"/>
      <w:r w:rsidRPr="00F16708">
        <w:rPr>
          <w:sz w:val="24"/>
          <w:szCs w:val="24"/>
          <w:lang w:val="en-US"/>
        </w:rPr>
        <w:t xml:space="preserve"> related to ongoing performance issues with the disposal field and not the performance of the treatment facility itself. These emergency works were </w:t>
      </w:r>
      <w:proofErr w:type="spellStart"/>
      <w:r w:rsidRPr="00F16708">
        <w:rPr>
          <w:sz w:val="24"/>
          <w:szCs w:val="24"/>
          <w:lang w:val="en-US"/>
        </w:rPr>
        <w:t>utilised</w:t>
      </w:r>
      <w:proofErr w:type="spellEnd"/>
      <w:r w:rsidRPr="00F16708">
        <w:rPr>
          <w:sz w:val="24"/>
          <w:szCs w:val="24"/>
          <w:lang w:val="en-US"/>
        </w:rPr>
        <w:t xml:space="preserve"> to address an elevated risk to aircraft operations in the area arising from increased waterfowl activity in and around the now ponded disposal field. As of 31 March, Council began diverting treated wastewater from the disposal field and discharging it directly into the </w:t>
      </w:r>
      <w:proofErr w:type="spellStart"/>
      <w:r w:rsidRPr="00F16708">
        <w:rPr>
          <w:sz w:val="24"/>
          <w:szCs w:val="24"/>
          <w:lang w:val="en-US"/>
        </w:rPr>
        <w:t>Shotover</w:t>
      </w:r>
      <w:proofErr w:type="spellEnd"/>
      <w:r w:rsidRPr="00F16708">
        <w:rPr>
          <w:sz w:val="24"/>
          <w:szCs w:val="24"/>
          <w:lang w:val="en-US"/>
        </w:rPr>
        <w:t xml:space="preserve"> River, using a historic </w:t>
      </w:r>
      <w:r w:rsidRPr="00F16708">
        <w:rPr>
          <w:sz w:val="24"/>
          <w:szCs w:val="24"/>
          <w:lang w:val="en-US"/>
        </w:rPr>
        <w:lastRenderedPageBreak/>
        <w:t xml:space="preserve">channel previously used for the same activity prior to 2019 (consistent with the Resource Consent in place at the time). </w:t>
      </w:r>
    </w:p>
    <w:p w14:paraId="06181222" w14:textId="77777777" w:rsidR="00F16708" w:rsidRPr="00F16708" w:rsidRDefault="00F16708" w:rsidP="00F16708">
      <w:pPr>
        <w:rPr>
          <w:sz w:val="24"/>
          <w:szCs w:val="24"/>
          <w:lang w:val="en-US"/>
        </w:rPr>
      </w:pPr>
      <w:r w:rsidRPr="00F16708">
        <w:rPr>
          <w:sz w:val="24"/>
          <w:szCs w:val="24"/>
          <w:lang w:val="en-US"/>
        </w:rPr>
        <w:t xml:space="preserve">Discharge to water is not an uncommon approach for the disposal of treated wastewater in New Zealand (or internationally), with approximately 200 facilities across the country discharging directly to water currently. Work is already underway to construct and commission a new, additional Modified </w:t>
      </w:r>
      <w:proofErr w:type="spellStart"/>
      <w:r w:rsidRPr="00F16708">
        <w:rPr>
          <w:sz w:val="24"/>
          <w:szCs w:val="24"/>
          <w:lang w:val="en-US"/>
        </w:rPr>
        <w:t>LudzackEttinger</w:t>
      </w:r>
      <w:proofErr w:type="spellEnd"/>
      <w:r w:rsidRPr="00F16708">
        <w:rPr>
          <w:sz w:val="24"/>
          <w:szCs w:val="24"/>
          <w:lang w:val="en-US"/>
        </w:rPr>
        <w:t xml:space="preserve"> (MLE) reactor train which is due to be completed before the end of 2025. This will result in further significant improvements to the quality of the treated water discharged from the facility by enabling the removal of oxidation ponds from the treatment process. </w:t>
      </w:r>
    </w:p>
    <w:p w14:paraId="647C4903" w14:textId="77777777" w:rsidR="00F16708" w:rsidRPr="00F16708" w:rsidRDefault="00F16708" w:rsidP="00F16708">
      <w:pPr>
        <w:rPr>
          <w:sz w:val="24"/>
          <w:szCs w:val="24"/>
          <w:lang w:val="en-US"/>
        </w:rPr>
      </w:pPr>
      <w:r w:rsidRPr="00F16708">
        <w:rPr>
          <w:sz w:val="24"/>
          <w:szCs w:val="24"/>
          <w:lang w:val="en-US"/>
        </w:rPr>
        <w:t xml:space="preserve">Currently 20% of the raw wastewater continues to be treated within the pond system, which we are progressively decommissioning. Following the decommissioning of the remaining oxidation ponds, an additional ‘calamity pond’ will be constructed by the end of 2027 in the southern area of Pond 3. This will enable treated water to be diverted away from the disposal solution and temporarily stored in the unlikely event the quality of the treated water is compromised. If that ever was the case, the stored water will then be able to be pumped back for re-processing through the facility. </w:t>
      </w:r>
    </w:p>
    <w:p w14:paraId="0F09EDCE" w14:textId="77777777" w:rsidR="00F16708" w:rsidRPr="00F16708" w:rsidRDefault="00F16708" w:rsidP="00F16708">
      <w:pPr>
        <w:rPr>
          <w:sz w:val="24"/>
          <w:szCs w:val="24"/>
          <w:lang w:val="en-US"/>
        </w:rPr>
      </w:pPr>
      <w:r w:rsidRPr="00F16708">
        <w:rPr>
          <w:sz w:val="24"/>
          <w:szCs w:val="24"/>
          <w:lang w:val="en-US"/>
        </w:rPr>
        <w:t xml:space="preserve">In response to the current challenges with the existing disposal field, QLDC has allocated $77.5M through the current LTP to implement a new disposal strategy for </w:t>
      </w:r>
      <w:proofErr w:type="gramStart"/>
      <w:r w:rsidRPr="00F16708">
        <w:rPr>
          <w:sz w:val="24"/>
          <w:szCs w:val="24"/>
          <w:lang w:val="en-US"/>
        </w:rPr>
        <w:t xml:space="preserve">the </w:t>
      </w:r>
      <w:proofErr w:type="spellStart"/>
      <w:r w:rsidRPr="00F16708">
        <w:rPr>
          <w:sz w:val="24"/>
          <w:szCs w:val="24"/>
          <w:lang w:val="en-US"/>
        </w:rPr>
        <w:t>Shotover</w:t>
      </w:r>
      <w:proofErr w:type="spellEnd"/>
      <w:proofErr w:type="gramEnd"/>
      <w:r w:rsidRPr="00F16708">
        <w:rPr>
          <w:sz w:val="24"/>
          <w:szCs w:val="24"/>
          <w:lang w:val="en-US"/>
        </w:rPr>
        <w:t xml:space="preserve"> WWTP. This project commenced in October </w:t>
      </w:r>
      <w:proofErr w:type="gramStart"/>
      <w:r w:rsidRPr="00F16708">
        <w:rPr>
          <w:sz w:val="24"/>
          <w:szCs w:val="24"/>
          <w:lang w:val="en-US"/>
        </w:rPr>
        <w:t>2024</w:t>
      </w:r>
      <w:proofErr w:type="gramEnd"/>
      <w:r w:rsidRPr="00F16708">
        <w:rPr>
          <w:sz w:val="24"/>
          <w:szCs w:val="24"/>
          <w:lang w:val="en-US"/>
        </w:rPr>
        <w:t xml:space="preserve"> and a new disposal solution is expected to be in operation by the end of 2030. The Council reviewed a “long list” of options for the future disposal of treated wastewater at a public workshop in April. Alongside this, consultants have commenced site investigation works on the </w:t>
      </w:r>
      <w:proofErr w:type="spellStart"/>
      <w:r w:rsidRPr="00F16708">
        <w:rPr>
          <w:sz w:val="24"/>
          <w:szCs w:val="24"/>
          <w:lang w:val="en-US"/>
        </w:rPr>
        <w:t>Shotover</w:t>
      </w:r>
      <w:proofErr w:type="spellEnd"/>
      <w:r w:rsidRPr="00F16708">
        <w:rPr>
          <w:sz w:val="24"/>
          <w:szCs w:val="24"/>
          <w:lang w:val="en-US"/>
        </w:rPr>
        <w:t xml:space="preserve"> Delta and in parallel are planning site investigation works on the Frankton flats area. Site investigations and detailed analysis of short-term options will continue through to July with Council anticipated to make a final decision later in the year.</w:t>
      </w:r>
    </w:p>
    <w:p w14:paraId="0AF4B907" w14:textId="77777777" w:rsidR="00F16708" w:rsidRPr="00F16708" w:rsidRDefault="00F16708" w:rsidP="00A00DC3">
      <w:pPr>
        <w:pStyle w:val="Heading2"/>
        <w:rPr>
          <w:lang w:val="en-US"/>
        </w:rPr>
      </w:pPr>
      <w:bookmarkStart w:id="20" w:name="_Toc211422633"/>
      <w:r w:rsidRPr="00F16708">
        <w:rPr>
          <w:lang w:val="en-US"/>
        </w:rPr>
        <w:t>Final thoughts</w:t>
      </w:r>
      <w:bookmarkEnd w:id="20"/>
    </w:p>
    <w:p w14:paraId="696AF611" w14:textId="6A16A538" w:rsidR="00F16708" w:rsidRPr="00F16708" w:rsidRDefault="00F16708" w:rsidP="00F16708">
      <w:pPr>
        <w:rPr>
          <w:sz w:val="24"/>
          <w:szCs w:val="24"/>
          <w:lang w:val="en-US"/>
        </w:rPr>
      </w:pPr>
      <w:r w:rsidRPr="00F16708">
        <w:rPr>
          <w:sz w:val="24"/>
          <w:szCs w:val="24"/>
          <w:lang w:val="en-US"/>
        </w:rPr>
        <w:t xml:space="preserve">I encourage everyone to actively engage </w:t>
      </w:r>
      <w:proofErr w:type="gramStart"/>
      <w:r w:rsidRPr="00F16708">
        <w:rPr>
          <w:sz w:val="24"/>
          <w:szCs w:val="24"/>
          <w:lang w:val="en-US"/>
        </w:rPr>
        <w:t>with</w:t>
      </w:r>
      <w:proofErr w:type="gramEnd"/>
      <w:r w:rsidRPr="00F16708">
        <w:rPr>
          <w:sz w:val="24"/>
          <w:szCs w:val="24"/>
          <w:lang w:val="en-US"/>
        </w:rPr>
        <w:t xml:space="preserve"> Council decision-making, whether that’s through participating in the many consultations and engagement</w:t>
      </w:r>
      <w:r w:rsidR="00A00DC3">
        <w:rPr>
          <w:rStyle w:val="FootnoteReference"/>
          <w:sz w:val="24"/>
          <w:szCs w:val="24"/>
          <w:lang w:val="en-US"/>
        </w:rPr>
        <w:footnoteReference w:id="49"/>
      </w:r>
      <w:r w:rsidRPr="00F16708">
        <w:rPr>
          <w:sz w:val="24"/>
          <w:szCs w:val="24"/>
          <w:lang w:val="en-US"/>
        </w:rPr>
        <w:t xml:space="preserve"> opportunities regularly available or to find out more about the decision-making process by joining Council, Committee and Community Board meetings, workshops and hearings online or in person. Meeting and workshop agendas and report materials are all available on the QLDC website along with recordings of previous meetings</w:t>
      </w:r>
      <w:r w:rsidR="00A00DC3">
        <w:rPr>
          <w:rStyle w:val="FootnoteReference"/>
          <w:sz w:val="24"/>
          <w:szCs w:val="24"/>
          <w:lang w:val="en-US"/>
        </w:rPr>
        <w:footnoteReference w:id="50"/>
      </w:r>
      <w:r w:rsidRPr="00F16708">
        <w:rPr>
          <w:sz w:val="24"/>
          <w:szCs w:val="24"/>
          <w:lang w:val="en-US"/>
        </w:rPr>
        <w:t xml:space="preserve">. </w:t>
      </w:r>
      <w:proofErr w:type="gramStart"/>
      <w:r w:rsidRPr="00F16708">
        <w:rPr>
          <w:sz w:val="24"/>
          <w:szCs w:val="24"/>
          <w:lang w:val="en-US"/>
        </w:rPr>
        <w:t>These</w:t>
      </w:r>
      <w:proofErr w:type="gramEnd"/>
      <w:r w:rsidRPr="00F16708">
        <w:rPr>
          <w:sz w:val="24"/>
          <w:szCs w:val="24"/>
          <w:lang w:val="en-US"/>
        </w:rPr>
        <w:t xml:space="preserve"> can be a great source for understanding more about the complexities councils deal with.</w:t>
      </w:r>
    </w:p>
    <w:p w14:paraId="476ED0AD" w14:textId="77777777" w:rsidR="00F16708" w:rsidRPr="00F16708" w:rsidRDefault="00F16708" w:rsidP="00F16708">
      <w:pPr>
        <w:rPr>
          <w:sz w:val="24"/>
          <w:szCs w:val="24"/>
          <w:lang w:val="en-US"/>
        </w:rPr>
      </w:pPr>
      <w:r w:rsidRPr="00F16708">
        <w:rPr>
          <w:sz w:val="24"/>
          <w:szCs w:val="24"/>
          <w:lang w:val="en-US"/>
        </w:rPr>
        <w:t xml:space="preserve">My thanks to our elected members who have committed so much of their time to serve their communities. It can be very challenging, and they have had to grapple with some difficult decisions during their tenure. </w:t>
      </w:r>
    </w:p>
    <w:p w14:paraId="01486946" w14:textId="77777777" w:rsidR="00F16708" w:rsidRPr="00F16708" w:rsidRDefault="00F16708" w:rsidP="00F16708">
      <w:pPr>
        <w:rPr>
          <w:sz w:val="24"/>
          <w:szCs w:val="24"/>
          <w:lang w:val="en-US"/>
        </w:rPr>
      </w:pPr>
      <w:r w:rsidRPr="00F16708">
        <w:rPr>
          <w:sz w:val="24"/>
          <w:szCs w:val="24"/>
          <w:lang w:val="en-US"/>
        </w:rPr>
        <w:t xml:space="preserve">Finally, I would like to take this opportunity to offer up my thanks to all the hard-working and committed staff at QLDC who turn up every day to deliver services, run facilities, </w:t>
      </w:r>
      <w:proofErr w:type="gramStart"/>
      <w:r w:rsidRPr="00F16708">
        <w:rPr>
          <w:sz w:val="24"/>
          <w:szCs w:val="24"/>
          <w:lang w:val="en-US"/>
        </w:rPr>
        <w:lastRenderedPageBreak/>
        <w:t>plan for the future</w:t>
      </w:r>
      <w:proofErr w:type="gramEnd"/>
      <w:r w:rsidRPr="00F16708">
        <w:rPr>
          <w:sz w:val="24"/>
          <w:szCs w:val="24"/>
          <w:lang w:val="en-US"/>
        </w:rPr>
        <w:t xml:space="preserve">, keep you informed, respond to your enquiries, and much more. </w:t>
      </w:r>
      <w:proofErr w:type="gramStart"/>
      <w:r w:rsidRPr="00F16708">
        <w:rPr>
          <w:sz w:val="24"/>
          <w:szCs w:val="24"/>
          <w:lang w:val="en-US"/>
        </w:rPr>
        <w:t>Each and every</w:t>
      </w:r>
      <w:proofErr w:type="gramEnd"/>
      <w:r w:rsidRPr="00F16708">
        <w:rPr>
          <w:sz w:val="24"/>
          <w:szCs w:val="24"/>
          <w:lang w:val="en-US"/>
        </w:rPr>
        <w:t xml:space="preserve"> one of them is driven by Council’s purpose of “Caring Connecting Community | </w:t>
      </w:r>
      <w:proofErr w:type="spellStart"/>
      <w:r w:rsidRPr="00F16708">
        <w:rPr>
          <w:sz w:val="24"/>
          <w:szCs w:val="24"/>
          <w:lang w:val="en-US"/>
        </w:rPr>
        <w:t>Kotahitaka</w:t>
      </w:r>
      <w:proofErr w:type="spellEnd"/>
      <w:r w:rsidRPr="00F16708">
        <w:rPr>
          <w:sz w:val="24"/>
          <w:szCs w:val="24"/>
          <w:lang w:val="en-US"/>
        </w:rPr>
        <w:t xml:space="preserve"> Ki </w:t>
      </w:r>
      <w:proofErr w:type="spellStart"/>
      <w:r w:rsidRPr="00F16708">
        <w:rPr>
          <w:sz w:val="24"/>
          <w:szCs w:val="24"/>
          <w:lang w:val="en-US"/>
        </w:rPr>
        <w:t>te</w:t>
      </w:r>
      <w:proofErr w:type="spellEnd"/>
      <w:r w:rsidRPr="00F16708">
        <w:rPr>
          <w:sz w:val="24"/>
          <w:szCs w:val="24"/>
          <w:lang w:val="en-US"/>
        </w:rPr>
        <w:t xml:space="preserve"> Manaaki </w:t>
      </w:r>
      <w:proofErr w:type="spellStart"/>
      <w:r w:rsidRPr="00F16708">
        <w:rPr>
          <w:sz w:val="24"/>
          <w:szCs w:val="24"/>
          <w:lang w:val="en-US"/>
        </w:rPr>
        <w:t>hāpori</w:t>
      </w:r>
      <w:proofErr w:type="spellEnd"/>
      <w:r w:rsidRPr="00F16708">
        <w:rPr>
          <w:sz w:val="24"/>
          <w:szCs w:val="24"/>
          <w:lang w:val="en-US"/>
        </w:rPr>
        <w:t>” and a shared desire to make ours a special place to live.</w:t>
      </w:r>
    </w:p>
    <w:p w14:paraId="51FB4F89" w14:textId="77777777" w:rsidR="00F16708" w:rsidRDefault="00F16708" w:rsidP="00F16708">
      <w:pPr>
        <w:rPr>
          <w:sz w:val="24"/>
          <w:szCs w:val="24"/>
          <w:lang w:val="en-US"/>
        </w:rPr>
      </w:pPr>
      <w:proofErr w:type="spellStart"/>
      <w:r w:rsidRPr="00F16708">
        <w:rPr>
          <w:sz w:val="24"/>
          <w:szCs w:val="24"/>
          <w:lang w:val="en-US"/>
        </w:rPr>
        <w:t>Kā</w:t>
      </w:r>
      <w:proofErr w:type="spellEnd"/>
      <w:r w:rsidRPr="00F16708">
        <w:rPr>
          <w:sz w:val="24"/>
          <w:szCs w:val="24"/>
          <w:lang w:val="en-US"/>
        </w:rPr>
        <w:t xml:space="preserve"> mihi </w:t>
      </w:r>
      <w:proofErr w:type="spellStart"/>
      <w:r w:rsidRPr="00F16708">
        <w:rPr>
          <w:sz w:val="24"/>
          <w:szCs w:val="24"/>
          <w:lang w:val="en-US"/>
        </w:rPr>
        <w:t>nui</w:t>
      </w:r>
      <w:proofErr w:type="spellEnd"/>
      <w:r w:rsidRPr="00F16708">
        <w:rPr>
          <w:sz w:val="24"/>
          <w:szCs w:val="24"/>
          <w:lang w:val="en-US"/>
        </w:rPr>
        <w:t>.</w:t>
      </w:r>
    </w:p>
    <w:p w14:paraId="7D75159B" w14:textId="1AB5463B" w:rsidR="00A00DC3" w:rsidRPr="00F16708" w:rsidRDefault="008F521F" w:rsidP="00F16708">
      <w:pPr>
        <w:rPr>
          <w:sz w:val="24"/>
          <w:szCs w:val="24"/>
          <w:lang w:val="en-US"/>
        </w:rPr>
      </w:pPr>
      <w:r>
        <w:rPr>
          <w:noProof/>
          <w:lang w:val="en-US"/>
        </w:rPr>
        <w:drawing>
          <wp:inline distT="0" distB="0" distL="0" distR="0" wp14:anchorId="3CA7617E" wp14:editId="7C53F204">
            <wp:extent cx="1133475" cy="498231"/>
            <wp:effectExtent l="0" t="0" r="0" b="0"/>
            <wp:docPr id="1214540926" name="Picture 2" descr="Mike Theel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29410" name="Picture 2" descr="Mike Theelen sig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0442" cy="505689"/>
                    </a:xfrm>
                    <a:prstGeom prst="rect">
                      <a:avLst/>
                    </a:prstGeom>
                    <a:noFill/>
                    <a:ln>
                      <a:noFill/>
                    </a:ln>
                  </pic:spPr>
                </pic:pic>
              </a:graphicData>
            </a:graphic>
          </wp:inline>
        </w:drawing>
      </w:r>
    </w:p>
    <w:p w14:paraId="09CD721E" w14:textId="76E2DE04" w:rsidR="009268E6" w:rsidRDefault="00F16708" w:rsidP="00F16708">
      <w:pPr>
        <w:rPr>
          <w:sz w:val="24"/>
          <w:szCs w:val="24"/>
          <w:lang w:val="en-US"/>
        </w:rPr>
      </w:pPr>
      <w:r w:rsidRPr="00F16708">
        <w:rPr>
          <w:sz w:val="24"/>
          <w:szCs w:val="24"/>
          <w:lang w:val="en-US"/>
        </w:rPr>
        <w:t>Mike Theelen</w:t>
      </w:r>
      <w:r w:rsidR="00485CC4">
        <w:rPr>
          <w:sz w:val="24"/>
          <w:szCs w:val="24"/>
          <w:lang w:val="en-US"/>
        </w:rPr>
        <w:br/>
      </w:r>
      <w:r w:rsidR="00716BBA" w:rsidRPr="00716BBA">
        <w:rPr>
          <w:sz w:val="24"/>
          <w:szCs w:val="24"/>
          <w:lang w:val="en-US"/>
        </w:rPr>
        <w:t>Chief Executive</w:t>
      </w:r>
    </w:p>
    <w:p w14:paraId="69089A06" w14:textId="77777777" w:rsidR="009268E6" w:rsidRDefault="009268E6">
      <w:pPr>
        <w:rPr>
          <w:sz w:val="24"/>
          <w:szCs w:val="24"/>
          <w:lang w:val="en-US"/>
        </w:rPr>
      </w:pPr>
      <w:r>
        <w:rPr>
          <w:sz w:val="24"/>
          <w:szCs w:val="24"/>
          <w:lang w:val="en-US"/>
        </w:rPr>
        <w:br w:type="page"/>
      </w:r>
    </w:p>
    <w:p w14:paraId="2BF42B28" w14:textId="0CD8A3D0" w:rsidR="00387CDB" w:rsidRDefault="00387CDB" w:rsidP="00387CDB">
      <w:pPr>
        <w:pStyle w:val="Heading1"/>
        <w:rPr>
          <w:lang w:val="en-GB"/>
        </w:rPr>
      </w:pPr>
      <w:bookmarkStart w:id="21" w:name="_Toc211422634"/>
      <w:r w:rsidRPr="00387CDB">
        <w:rPr>
          <w:lang w:val="en-GB"/>
        </w:rPr>
        <w:lastRenderedPageBreak/>
        <w:t xml:space="preserve">The year in review </w:t>
      </w:r>
      <w:r>
        <w:rPr>
          <w:lang w:val="en-GB"/>
        </w:rPr>
        <w:t>|</w:t>
      </w:r>
      <w:r w:rsidRPr="00387CDB">
        <w:rPr>
          <w:lang w:val="en-GB"/>
        </w:rPr>
        <w:t xml:space="preserve"> He </w:t>
      </w:r>
      <w:proofErr w:type="spellStart"/>
      <w:r w:rsidRPr="00387CDB">
        <w:rPr>
          <w:lang w:val="en-GB"/>
        </w:rPr>
        <w:t>tirohaka</w:t>
      </w:r>
      <w:proofErr w:type="spellEnd"/>
      <w:r w:rsidRPr="00387CDB">
        <w:rPr>
          <w:lang w:val="en-GB"/>
        </w:rPr>
        <w:t xml:space="preserve"> ki </w:t>
      </w:r>
      <w:proofErr w:type="spellStart"/>
      <w:r w:rsidRPr="00387CDB">
        <w:rPr>
          <w:lang w:val="en-GB"/>
        </w:rPr>
        <w:t>te</w:t>
      </w:r>
      <w:proofErr w:type="spellEnd"/>
      <w:r w:rsidRPr="00387CDB">
        <w:rPr>
          <w:lang w:val="en-GB"/>
        </w:rPr>
        <w:t xml:space="preserve"> tau </w:t>
      </w:r>
      <w:proofErr w:type="spellStart"/>
      <w:r w:rsidRPr="00387CDB">
        <w:rPr>
          <w:lang w:val="en-GB"/>
        </w:rPr>
        <w:t>kua</w:t>
      </w:r>
      <w:proofErr w:type="spellEnd"/>
      <w:r w:rsidRPr="00387CDB">
        <w:rPr>
          <w:lang w:val="en-GB"/>
        </w:rPr>
        <w:t xml:space="preserve"> </w:t>
      </w:r>
      <w:proofErr w:type="spellStart"/>
      <w:r w:rsidRPr="00387CDB">
        <w:rPr>
          <w:lang w:val="en-GB"/>
        </w:rPr>
        <w:t>pahure</w:t>
      </w:r>
      <w:proofErr w:type="spellEnd"/>
      <w:r w:rsidRPr="00387CDB">
        <w:rPr>
          <w:lang w:val="en-GB"/>
        </w:rPr>
        <w:t xml:space="preserve"> </w:t>
      </w:r>
      <w:proofErr w:type="spellStart"/>
      <w:r w:rsidRPr="00387CDB">
        <w:rPr>
          <w:lang w:val="en-GB"/>
        </w:rPr>
        <w:t>ake</w:t>
      </w:r>
      <w:bookmarkEnd w:id="21"/>
      <w:proofErr w:type="spellEnd"/>
    </w:p>
    <w:p w14:paraId="1C2BED2B" w14:textId="3753FBEB" w:rsidR="00387CDB" w:rsidRDefault="00387CDB" w:rsidP="00387CDB">
      <w:pPr>
        <w:pStyle w:val="Heading2"/>
        <w:rPr>
          <w:lang w:val="en-GB"/>
        </w:rPr>
      </w:pPr>
      <w:bookmarkStart w:id="22" w:name="_Toc211422635"/>
      <w:r w:rsidRPr="00387CDB">
        <w:rPr>
          <w:lang w:val="en-GB"/>
        </w:rPr>
        <w:t>Our key</w:t>
      </w:r>
      <w:r>
        <w:rPr>
          <w:lang w:val="en-GB"/>
        </w:rPr>
        <w:t xml:space="preserve"> </w:t>
      </w:r>
      <w:r w:rsidRPr="00387CDB">
        <w:rPr>
          <w:lang w:val="en-GB"/>
        </w:rPr>
        <w:t>achievements</w:t>
      </w:r>
      <w:bookmarkEnd w:id="22"/>
    </w:p>
    <w:p w14:paraId="158941A6" w14:textId="77777777" w:rsidR="00387CDB" w:rsidRPr="00E641B6" w:rsidRDefault="00387CDB" w:rsidP="00953218">
      <w:pPr>
        <w:pStyle w:val="ListParagraph"/>
        <w:numPr>
          <w:ilvl w:val="0"/>
          <w:numId w:val="19"/>
        </w:numPr>
        <w:rPr>
          <w:sz w:val="24"/>
          <w:lang w:val="en-GB"/>
        </w:rPr>
      </w:pPr>
      <w:r w:rsidRPr="00E641B6">
        <w:rPr>
          <w:sz w:val="24"/>
          <w:lang w:val="en-GB"/>
        </w:rPr>
        <w:t>Queenstown Town Centre Arterial Road Stage 1 opened.</w:t>
      </w:r>
    </w:p>
    <w:p w14:paraId="417376D1" w14:textId="77777777" w:rsidR="00387CDB" w:rsidRPr="00E641B6" w:rsidRDefault="00387CDB" w:rsidP="00953218">
      <w:pPr>
        <w:pStyle w:val="ListParagraph"/>
        <w:numPr>
          <w:ilvl w:val="0"/>
          <w:numId w:val="19"/>
        </w:numPr>
        <w:rPr>
          <w:sz w:val="24"/>
          <w:lang w:val="en-GB"/>
        </w:rPr>
      </w:pPr>
      <w:r w:rsidRPr="00E641B6">
        <w:rPr>
          <w:sz w:val="24"/>
          <w:lang w:val="en-GB"/>
        </w:rPr>
        <w:t>Arthurs Point to CBD active travel bike path opened.</w:t>
      </w:r>
    </w:p>
    <w:p w14:paraId="0287D274" w14:textId="77777777" w:rsidR="00953218" w:rsidRPr="00E641B6" w:rsidRDefault="00387CDB" w:rsidP="00953218">
      <w:pPr>
        <w:pStyle w:val="ListParagraph"/>
        <w:numPr>
          <w:ilvl w:val="0"/>
          <w:numId w:val="19"/>
        </w:numPr>
        <w:rPr>
          <w:sz w:val="24"/>
          <w:lang w:val="en-GB"/>
        </w:rPr>
      </w:pPr>
      <w:r w:rsidRPr="00E641B6">
        <w:rPr>
          <w:sz w:val="24"/>
          <w:lang w:val="en-GB"/>
        </w:rPr>
        <w:t xml:space="preserve">Water supply UV upgrades completed in </w:t>
      </w:r>
      <w:proofErr w:type="spellStart"/>
      <w:r w:rsidRPr="00E641B6">
        <w:rPr>
          <w:sz w:val="24"/>
          <w:lang w:val="en-GB"/>
        </w:rPr>
        <w:t>Glenorchy</w:t>
      </w:r>
      <w:proofErr w:type="spellEnd"/>
      <w:r w:rsidRPr="00E641B6">
        <w:rPr>
          <w:sz w:val="24"/>
          <w:lang w:val="en-GB"/>
        </w:rPr>
        <w:t xml:space="preserve">, Two Mile and </w:t>
      </w:r>
      <w:proofErr w:type="spellStart"/>
      <w:r w:rsidRPr="00E641B6">
        <w:rPr>
          <w:sz w:val="24"/>
          <w:lang w:val="en-GB"/>
        </w:rPr>
        <w:t>Wānaka</w:t>
      </w:r>
      <w:proofErr w:type="spellEnd"/>
      <w:r w:rsidRPr="00E641B6">
        <w:rPr>
          <w:sz w:val="24"/>
          <w:lang w:val="en-GB"/>
        </w:rPr>
        <w:t xml:space="preserve"> Airport.</w:t>
      </w:r>
    </w:p>
    <w:p w14:paraId="59D3051E" w14:textId="77777777" w:rsidR="00953218" w:rsidRPr="00E641B6" w:rsidRDefault="00387CDB" w:rsidP="00953218">
      <w:pPr>
        <w:pStyle w:val="ListParagraph"/>
        <w:numPr>
          <w:ilvl w:val="0"/>
          <w:numId w:val="19"/>
        </w:numPr>
        <w:rPr>
          <w:sz w:val="24"/>
          <w:lang w:val="en-GB"/>
        </w:rPr>
      </w:pPr>
      <w:r w:rsidRPr="00E641B6">
        <w:rPr>
          <w:sz w:val="24"/>
          <w:lang w:val="en-GB"/>
        </w:rPr>
        <w:t>QLDC as part of Otago Central Lakes one of first three regions approved to go into negotiations for a Regional Deal.</w:t>
      </w:r>
    </w:p>
    <w:p w14:paraId="2D469B1A" w14:textId="77777777" w:rsidR="00953218" w:rsidRPr="00E641B6" w:rsidRDefault="00387CDB" w:rsidP="00953218">
      <w:pPr>
        <w:pStyle w:val="ListParagraph"/>
        <w:numPr>
          <w:ilvl w:val="0"/>
          <w:numId w:val="19"/>
        </w:numPr>
        <w:rPr>
          <w:sz w:val="24"/>
          <w:lang w:val="en-GB"/>
        </w:rPr>
      </w:pPr>
      <w:proofErr w:type="spellStart"/>
      <w:r w:rsidRPr="00E641B6">
        <w:rPr>
          <w:sz w:val="24"/>
          <w:lang w:val="en-GB"/>
        </w:rPr>
        <w:t>Wānaka</w:t>
      </w:r>
      <w:proofErr w:type="spellEnd"/>
      <w:r w:rsidRPr="00E641B6">
        <w:rPr>
          <w:sz w:val="24"/>
          <w:lang w:val="en-GB"/>
        </w:rPr>
        <w:t xml:space="preserve"> Lakefront Stage 5 opened.</w:t>
      </w:r>
    </w:p>
    <w:p w14:paraId="1AABBCE5" w14:textId="77777777" w:rsidR="00953218" w:rsidRPr="00E641B6" w:rsidRDefault="00387CDB" w:rsidP="00953218">
      <w:pPr>
        <w:pStyle w:val="ListParagraph"/>
        <w:numPr>
          <w:ilvl w:val="0"/>
          <w:numId w:val="19"/>
        </w:numPr>
        <w:rPr>
          <w:sz w:val="24"/>
          <w:lang w:val="en-GB"/>
        </w:rPr>
      </w:pPr>
      <w:r w:rsidRPr="00E641B6">
        <w:rPr>
          <w:sz w:val="24"/>
          <w:lang w:val="en-GB"/>
        </w:rPr>
        <w:t xml:space="preserve">Co-delivery of a joint Waitangi Day for Southland and Otago alongside </w:t>
      </w:r>
      <w:proofErr w:type="spellStart"/>
      <w:r w:rsidRPr="00E641B6">
        <w:rPr>
          <w:sz w:val="24"/>
          <w:lang w:val="en-GB"/>
        </w:rPr>
        <w:t>Kāi</w:t>
      </w:r>
      <w:proofErr w:type="spellEnd"/>
      <w:r w:rsidRPr="00E641B6">
        <w:rPr>
          <w:sz w:val="24"/>
          <w:lang w:val="en-GB"/>
        </w:rPr>
        <w:t xml:space="preserve"> Tahu | </w:t>
      </w:r>
      <w:proofErr w:type="spellStart"/>
      <w:r w:rsidRPr="00E641B6">
        <w:rPr>
          <w:sz w:val="24"/>
          <w:lang w:val="en-GB"/>
        </w:rPr>
        <w:t>Kā</w:t>
      </w:r>
      <w:proofErr w:type="spellEnd"/>
      <w:r w:rsidRPr="00E641B6">
        <w:rPr>
          <w:sz w:val="24"/>
          <w:lang w:val="en-GB"/>
        </w:rPr>
        <w:t xml:space="preserve"> </w:t>
      </w:r>
      <w:proofErr w:type="spellStart"/>
      <w:r w:rsidRPr="00E641B6">
        <w:rPr>
          <w:sz w:val="24"/>
          <w:lang w:val="en-GB"/>
        </w:rPr>
        <w:t>Papatipu</w:t>
      </w:r>
      <w:proofErr w:type="spellEnd"/>
      <w:r w:rsidRPr="00E641B6">
        <w:rPr>
          <w:sz w:val="24"/>
          <w:lang w:val="en-GB"/>
        </w:rPr>
        <w:t xml:space="preserve"> </w:t>
      </w:r>
      <w:proofErr w:type="spellStart"/>
      <w:r w:rsidRPr="00E641B6">
        <w:rPr>
          <w:sz w:val="24"/>
          <w:lang w:val="en-GB"/>
        </w:rPr>
        <w:t>Rūnaka</w:t>
      </w:r>
      <w:proofErr w:type="spellEnd"/>
      <w:r w:rsidRPr="00E641B6">
        <w:rPr>
          <w:sz w:val="24"/>
          <w:lang w:val="en-GB"/>
        </w:rPr>
        <w:t xml:space="preserve"> E </w:t>
      </w:r>
      <w:proofErr w:type="spellStart"/>
      <w:r w:rsidRPr="00E641B6">
        <w:rPr>
          <w:sz w:val="24"/>
          <w:lang w:val="en-GB"/>
        </w:rPr>
        <w:t>Whitu</w:t>
      </w:r>
      <w:proofErr w:type="spellEnd"/>
      <w:r w:rsidRPr="00E641B6">
        <w:rPr>
          <w:sz w:val="24"/>
          <w:lang w:val="en-GB"/>
        </w:rPr>
        <w:t>.</w:t>
      </w:r>
    </w:p>
    <w:p w14:paraId="765E2BCE" w14:textId="77777777" w:rsidR="00953218" w:rsidRPr="00E641B6" w:rsidRDefault="00387CDB" w:rsidP="00953218">
      <w:pPr>
        <w:pStyle w:val="ListParagraph"/>
        <w:numPr>
          <w:ilvl w:val="0"/>
          <w:numId w:val="19"/>
        </w:numPr>
        <w:rPr>
          <w:sz w:val="24"/>
          <w:lang w:val="en-GB"/>
        </w:rPr>
      </w:pPr>
      <w:r w:rsidRPr="00E641B6">
        <w:rPr>
          <w:sz w:val="24"/>
          <w:lang w:val="en-GB"/>
        </w:rPr>
        <w:t xml:space="preserve">Agreement reached to convert a 20ha site on Ballantyne Road, </w:t>
      </w:r>
      <w:proofErr w:type="spellStart"/>
      <w:r w:rsidRPr="00E641B6">
        <w:rPr>
          <w:sz w:val="24"/>
          <w:lang w:val="en-GB"/>
        </w:rPr>
        <w:t>Wānaka</w:t>
      </w:r>
      <w:proofErr w:type="spellEnd"/>
      <w:r w:rsidRPr="00E641B6">
        <w:rPr>
          <w:sz w:val="24"/>
          <w:lang w:val="en-GB"/>
        </w:rPr>
        <w:t>, into a flat grassed area for future recreational and community facilities/needs.</w:t>
      </w:r>
    </w:p>
    <w:p w14:paraId="263AC368" w14:textId="77777777" w:rsidR="00953218" w:rsidRPr="00E641B6" w:rsidRDefault="00387CDB" w:rsidP="00953218">
      <w:pPr>
        <w:pStyle w:val="ListParagraph"/>
        <w:numPr>
          <w:ilvl w:val="0"/>
          <w:numId w:val="19"/>
        </w:numPr>
        <w:rPr>
          <w:sz w:val="24"/>
          <w:lang w:val="en-GB"/>
        </w:rPr>
      </w:pPr>
      <w:r w:rsidRPr="00E641B6">
        <w:rPr>
          <w:sz w:val="24"/>
          <w:lang w:val="en-GB"/>
        </w:rPr>
        <w:t>Mount Iron Reserve Management Plan adopted.</w:t>
      </w:r>
    </w:p>
    <w:p w14:paraId="097FE2CD" w14:textId="77777777" w:rsidR="00953218" w:rsidRPr="00E641B6" w:rsidRDefault="00387CDB" w:rsidP="00953218">
      <w:pPr>
        <w:pStyle w:val="ListParagraph"/>
        <w:numPr>
          <w:ilvl w:val="0"/>
          <w:numId w:val="19"/>
        </w:numPr>
        <w:rPr>
          <w:sz w:val="24"/>
          <w:lang w:val="en-GB"/>
        </w:rPr>
      </w:pPr>
      <w:r w:rsidRPr="00E641B6">
        <w:rPr>
          <w:sz w:val="24"/>
          <w:lang w:val="en-GB"/>
        </w:rPr>
        <w:t>Long Term Plan 2024-2034 adopted.</w:t>
      </w:r>
    </w:p>
    <w:p w14:paraId="7739C98E" w14:textId="77777777" w:rsidR="00953218" w:rsidRPr="00E641B6" w:rsidRDefault="00387CDB" w:rsidP="00953218">
      <w:pPr>
        <w:pStyle w:val="ListParagraph"/>
        <w:numPr>
          <w:ilvl w:val="0"/>
          <w:numId w:val="19"/>
        </w:numPr>
        <w:rPr>
          <w:sz w:val="24"/>
          <w:lang w:val="en-GB"/>
        </w:rPr>
      </w:pPr>
      <w:proofErr w:type="spellStart"/>
      <w:r w:rsidRPr="00E641B6">
        <w:rPr>
          <w:sz w:val="24"/>
          <w:lang w:val="en-GB"/>
        </w:rPr>
        <w:t>Te</w:t>
      </w:r>
      <w:proofErr w:type="spellEnd"/>
      <w:r w:rsidRPr="00E641B6">
        <w:rPr>
          <w:sz w:val="24"/>
          <w:lang w:val="en-GB"/>
        </w:rPr>
        <w:t xml:space="preserve"> </w:t>
      </w:r>
      <w:proofErr w:type="spellStart"/>
      <w:r w:rsidRPr="00E641B6">
        <w:rPr>
          <w:sz w:val="24"/>
          <w:lang w:val="en-GB"/>
        </w:rPr>
        <w:t>Tapuae</w:t>
      </w:r>
      <w:proofErr w:type="spellEnd"/>
      <w:r w:rsidRPr="00E641B6">
        <w:rPr>
          <w:sz w:val="24"/>
          <w:lang w:val="en-GB"/>
        </w:rPr>
        <w:t xml:space="preserve"> Southern Corridor Structure Plan draft developed.</w:t>
      </w:r>
    </w:p>
    <w:p w14:paraId="5EC46528" w14:textId="77777777" w:rsidR="00953218" w:rsidRPr="00E641B6" w:rsidRDefault="00387CDB" w:rsidP="00953218">
      <w:pPr>
        <w:pStyle w:val="ListParagraph"/>
        <w:numPr>
          <w:ilvl w:val="0"/>
          <w:numId w:val="19"/>
        </w:numPr>
        <w:rPr>
          <w:sz w:val="24"/>
          <w:lang w:val="en-GB"/>
        </w:rPr>
      </w:pPr>
      <w:r w:rsidRPr="00E641B6">
        <w:rPr>
          <w:sz w:val="24"/>
          <w:lang w:val="en-GB"/>
        </w:rPr>
        <w:t>Economic Diversification Plan adopted.</w:t>
      </w:r>
    </w:p>
    <w:p w14:paraId="62DBCD0C" w14:textId="3E83458B" w:rsidR="00387CDB" w:rsidRPr="00E641B6" w:rsidRDefault="00387CDB" w:rsidP="00953218">
      <w:pPr>
        <w:pStyle w:val="ListParagraph"/>
        <w:numPr>
          <w:ilvl w:val="0"/>
          <w:numId w:val="19"/>
        </w:numPr>
        <w:rPr>
          <w:sz w:val="24"/>
          <w:lang w:val="en-GB"/>
        </w:rPr>
      </w:pPr>
      <w:r w:rsidRPr="00E641B6">
        <w:rPr>
          <w:sz w:val="24"/>
          <w:lang w:val="en-GB"/>
        </w:rPr>
        <w:t>Climate &amp; Biodiversity Plan 2025-2028 developed.</w:t>
      </w:r>
    </w:p>
    <w:p w14:paraId="793724EC" w14:textId="38CB884A" w:rsidR="00953218" w:rsidRDefault="00953218" w:rsidP="00953218">
      <w:pPr>
        <w:pStyle w:val="Heading2"/>
        <w:rPr>
          <w:lang w:val="en-GB"/>
        </w:rPr>
      </w:pPr>
      <w:bookmarkStart w:id="23" w:name="_Toc211422636"/>
      <w:r w:rsidRPr="00953218">
        <w:rPr>
          <w:lang w:val="en-GB"/>
        </w:rPr>
        <w:t>A snapshot of our</w:t>
      </w:r>
      <w:r>
        <w:rPr>
          <w:lang w:val="en-GB"/>
        </w:rPr>
        <w:t xml:space="preserve"> </w:t>
      </w:r>
      <w:r w:rsidRPr="00953218">
        <w:rPr>
          <w:lang w:val="en-GB"/>
        </w:rPr>
        <w:t>non-financial performance</w:t>
      </w:r>
      <w:bookmarkEnd w:id="23"/>
    </w:p>
    <w:p w14:paraId="64FA01BF" w14:textId="77777777" w:rsidR="00953218" w:rsidRPr="00E641B6" w:rsidRDefault="00953218" w:rsidP="00953218">
      <w:pPr>
        <w:pStyle w:val="ListParagraph"/>
        <w:numPr>
          <w:ilvl w:val="0"/>
          <w:numId w:val="20"/>
        </w:numPr>
        <w:rPr>
          <w:sz w:val="24"/>
          <w:lang w:val="en-GB"/>
        </w:rPr>
      </w:pPr>
      <w:r w:rsidRPr="00E641B6">
        <w:rPr>
          <w:b/>
          <w:bCs/>
          <w:sz w:val="24"/>
          <w:lang w:val="en-GB"/>
        </w:rPr>
        <w:t>76%</w:t>
      </w:r>
      <w:r w:rsidRPr="00E641B6">
        <w:rPr>
          <w:sz w:val="24"/>
          <w:lang w:val="en-GB"/>
        </w:rPr>
        <w:t xml:space="preserve"> of users are satisfied with the range of community facilities offered across the Queenstown Lakes District, overachieving the target.</w:t>
      </w:r>
    </w:p>
    <w:p w14:paraId="45123FB9" w14:textId="497B288C" w:rsidR="00953218" w:rsidRPr="00E641B6" w:rsidRDefault="00953218" w:rsidP="00953218">
      <w:pPr>
        <w:pStyle w:val="ListParagraph"/>
        <w:numPr>
          <w:ilvl w:val="0"/>
          <w:numId w:val="20"/>
        </w:numPr>
        <w:rPr>
          <w:sz w:val="24"/>
          <w:lang w:val="en-GB"/>
        </w:rPr>
      </w:pPr>
      <w:r w:rsidRPr="00E641B6">
        <w:rPr>
          <w:b/>
          <w:bCs/>
          <w:sz w:val="24"/>
          <w:lang w:val="en-GB"/>
        </w:rPr>
        <w:t xml:space="preserve">All 6 KPIs </w:t>
      </w:r>
      <w:r w:rsidRPr="00E641B6">
        <w:rPr>
          <w:sz w:val="24"/>
          <w:lang w:val="en-GB"/>
        </w:rPr>
        <w:t xml:space="preserve">for responding to water supply and </w:t>
      </w:r>
      <w:proofErr w:type="gramStart"/>
      <w:r w:rsidRPr="00E641B6">
        <w:rPr>
          <w:sz w:val="24"/>
          <w:lang w:val="en-GB"/>
        </w:rPr>
        <w:t>waste water</w:t>
      </w:r>
      <w:proofErr w:type="gramEnd"/>
      <w:r w:rsidRPr="00E641B6">
        <w:rPr>
          <w:sz w:val="24"/>
          <w:lang w:val="en-GB"/>
        </w:rPr>
        <w:t xml:space="preserve"> faults achieved.</w:t>
      </w:r>
    </w:p>
    <w:p w14:paraId="28DE05BA" w14:textId="53F1A5BB" w:rsidR="00953218" w:rsidRPr="00E641B6" w:rsidRDefault="00953218" w:rsidP="00953218">
      <w:pPr>
        <w:pStyle w:val="ListParagraph"/>
        <w:numPr>
          <w:ilvl w:val="0"/>
          <w:numId w:val="20"/>
        </w:numPr>
        <w:rPr>
          <w:sz w:val="24"/>
          <w:lang w:val="en-GB"/>
        </w:rPr>
      </w:pPr>
      <w:r w:rsidRPr="00E641B6">
        <w:rPr>
          <w:b/>
          <w:bCs/>
          <w:sz w:val="24"/>
          <w:lang w:val="en-GB"/>
        </w:rPr>
        <w:t>97.3%</w:t>
      </w:r>
      <w:r w:rsidRPr="00E641B6">
        <w:rPr>
          <w:sz w:val="24"/>
          <w:lang w:val="en-GB"/>
        </w:rPr>
        <w:t xml:space="preserve"> of complaints resolved within 10 working days, overachieving the target.</w:t>
      </w:r>
    </w:p>
    <w:p w14:paraId="2ABDD474" w14:textId="66F671DF" w:rsidR="00953218" w:rsidRPr="00E641B6" w:rsidRDefault="00953218" w:rsidP="00953218">
      <w:pPr>
        <w:pStyle w:val="ListParagraph"/>
        <w:numPr>
          <w:ilvl w:val="0"/>
          <w:numId w:val="20"/>
        </w:numPr>
        <w:rPr>
          <w:sz w:val="24"/>
          <w:lang w:val="en-GB"/>
        </w:rPr>
      </w:pPr>
      <w:r w:rsidRPr="00E641B6">
        <w:rPr>
          <w:b/>
          <w:bCs/>
          <w:sz w:val="24"/>
          <w:lang w:val="en-GB"/>
        </w:rPr>
        <w:t xml:space="preserve">88.6% </w:t>
      </w:r>
      <w:r w:rsidRPr="00E641B6">
        <w:rPr>
          <w:sz w:val="24"/>
          <w:lang w:val="en-GB"/>
        </w:rPr>
        <w:t>of customer calls answered within 20 seconds, improved from 69% last year.</w:t>
      </w:r>
    </w:p>
    <w:p w14:paraId="4F8C3125" w14:textId="77777777" w:rsidR="00953218" w:rsidRPr="00E641B6" w:rsidRDefault="00953218" w:rsidP="00953218">
      <w:pPr>
        <w:pStyle w:val="ListParagraph"/>
        <w:numPr>
          <w:ilvl w:val="0"/>
          <w:numId w:val="20"/>
        </w:numPr>
        <w:rPr>
          <w:sz w:val="24"/>
          <w:lang w:val="en-GB"/>
        </w:rPr>
      </w:pPr>
      <w:r w:rsidRPr="00E641B6">
        <w:rPr>
          <w:b/>
          <w:bCs/>
          <w:sz w:val="24"/>
          <w:lang w:val="en-GB"/>
        </w:rPr>
        <w:t>99.5%</w:t>
      </w:r>
      <w:r w:rsidRPr="00E641B6">
        <w:rPr>
          <w:sz w:val="24"/>
          <w:lang w:val="en-GB"/>
        </w:rPr>
        <w:t xml:space="preserve"> of requests about Freedom Camping resolved within 20 working days, overachieving the target.</w:t>
      </w:r>
    </w:p>
    <w:p w14:paraId="50462B76" w14:textId="77777777" w:rsidR="00953218" w:rsidRPr="00E641B6" w:rsidRDefault="00953218" w:rsidP="00953218">
      <w:pPr>
        <w:pStyle w:val="ListParagraph"/>
        <w:numPr>
          <w:ilvl w:val="0"/>
          <w:numId w:val="20"/>
        </w:numPr>
        <w:rPr>
          <w:sz w:val="24"/>
          <w:lang w:val="en-GB"/>
        </w:rPr>
      </w:pPr>
      <w:r w:rsidRPr="00E641B6">
        <w:rPr>
          <w:b/>
          <w:bCs/>
          <w:sz w:val="24"/>
          <w:lang w:val="en-GB"/>
        </w:rPr>
        <w:t>97%</w:t>
      </w:r>
      <w:r w:rsidRPr="00E641B6">
        <w:rPr>
          <w:sz w:val="24"/>
          <w:lang w:val="en-GB"/>
        </w:rPr>
        <w:t xml:space="preserve"> of requests resolved within specified timeframe for parks, reserves, trails, gardens and playgrounds, overachieving the target.</w:t>
      </w:r>
    </w:p>
    <w:p w14:paraId="640BF48E" w14:textId="1D342418" w:rsidR="00953218" w:rsidRPr="00E641B6" w:rsidRDefault="00953218" w:rsidP="00953218">
      <w:pPr>
        <w:pStyle w:val="ListParagraph"/>
        <w:numPr>
          <w:ilvl w:val="0"/>
          <w:numId w:val="20"/>
        </w:numPr>
        <w:rPr>
          <w:sz w:val="24"/>
          <w:lang w:val="en-GB"/>
        </w:rPr>
      </w:pPr>
      <w:r w:rsidRPr="00E641B6">
        <w:rPr>
          <w:b/>
          <w:bCs/>
          <w:sz w:val="24"/>
          <w:lang w:val="en-GB"/>
        </w:rPr>
        <w:t>615,185</w:t>
      </w:r>
      <w:r w:rsidRPr="00E641B6">
        <w:rPr>
          <w:sz w:val="24"/>
          <w:lang w:val="en-GB"/>
        </w:rPr>
        <w:t xml:space="preserve"> total library checkouts this year, an increase of 5.6% from last year.</w:t>
      </w:r>
    </w:p>
    <w:p w14:paraId="16A40D76" w14:textId="7F82EC16" w:rsidR="00953218" w:rsidRPr="00E641B6" w:rsidRDefault="00953218" w:rsidP="00953218">
      <w:pPr>
        <w:pStyle w:val="ListParagraph"/>
        <w:numPr>
          <w:ilvl w:val="0"/>
          <w:numId w:val="20"/>
        </w:numPr>
        <w:rPr>
          <w:sz w:val="24"/>
          <w:lang w:val="en-GB"/>
        </w:rPr>
      </w:pPr>
      <w:r w:rsidRPr="00E641B6">
        <w:rPr>
          <w:b/>
          <w:bCs/>
          <w:sz w:val="24"/>
          <w:lang w:val="en-GB"/>
        </w:rPr>
        <w:t>96.18%</w:t>
      </w:r>
      <w:r w:rsidRPr="00E641B6">
        <w:rPr>
          <w:sz w:val="24"/>
          <w:lang w:val="en-GB"/>
        </w:rPr>
        <w:t xml:space="preserve"> of building consents processed within statutory timeframes. Best annual result in 3 years.</w:t>
      </w:r>
    </w:p>
    <w:p w14:paraId="44BDB0DE" w14:textId="4D490DB5" w:rsidR="00953218" w:rsidRPr="00E641B6" w:rsidRDefault="00953218" w:rsidP="00953218">
      <w:pPr>
        <w:pStyle w:val="ListParagraph"/>
        <w:numPr>
          <w:ilvl w:val="0"/>
          <w:numId w:val="20"/>
        </w:numPr>
        <w:rPr>
          <w:sz w:val="24"/>
          <w:lang w:val="en-GB"/>
        </w:rPr>
      </w:pPr>
      <w:r w:rsidRPr="00E641B6">
        <w:rPr>
          <w:b/>
          <w:bCs/>
          <w:sz w:val="24"/>
          <w:lang w:val="en-GB"/>
        </w:rPr>
        <w:t>95.15%</w:t>
      </w:r>
      <w:r w:rsidRPr="00E641B6">
        <w:rPr>
          <w:sz w:val="24"/>
          <w:lang w:val="en-GB"/>
        </w:rPr>
        <w:t xml:space="preserve"> of resource consents processed within statutory timeframes. Best annual result in 9 years.</w:t>
      </w:r>
    </w:p>
    <w:p w14:paraId="39B6A6C9" w14:textId="5DB29115" w:rsidR="00953218" w:rsidRDefault="00465380" w:rsidP="00465380">
      <w:pPr>
        <w:pStyle w:val="Heading2"/>
        <w:rPr>
          <w:lang w:val="en-GB"/>
        </w:rPr>
      </w:pPr>
      <w:bookmarkStart w:id="24" w:name="_Toc211422637"/>
      <w:r w:rsidRPr="00465380">
        <w:rPr>
          <w:lang w:val="en-GB"/>
        </w:rPr>
        <w:t>Where the money comes from</w:t>
      </w:r>
      <w:bookmarkEnd w:id="24"/>
    </w:p>
    <w:p w14:paraId="599617A5" w14:textId="77777777" w:rsidR="00465380" w:rsidRPr="00E641B6" w:rsidRDefault="00465380" w:rsidP="00465380">
      <w:pPr>
        <w:pStyle w:val="ListParagraph"/>
        <w:numPr>
          <w:ilvl w:val="0"/>
          <w:numId w:val="21"/>
        </w:numPr>
        <w:rPr>
          <w:sz w:val="24"/>
          <w:lang w:val="en-GB"/>
        </w:rPr>
      </w:pPr>
      <w:r w:rsidRPr="00E641B6">
        <w:rPr>
          <w:sz w:val="24"/>
          <w:lang w:val="en-GB"/>
        </w:rPr>
        <w:t>45% Rates</w:t>
      </w:r>
    </w:p>
    <w:p w14:paraId="5A0EC4FC" w14:textId="77777777" w:rsidR="00465380" w:rsidRPr="00E641B6" w:rsidRDefault="00465380" w:rsidP="00465380">
      <w:pPr>
        <w:pStyle w:val="ListParagraph"/>
        <w:numPr>
          <w:ilvl w:val="0"/>
          <w:numId w:val="21"/>
        </w:numPr>
        <w:rPr>
          <w:sz w:val="24"/>
          <w:lang w:val="en-GB"/>
        </w:rPr>
      </w:pPr>
      <w:r w:rsidRPr="00E641B6">
        <w:rPr>
          <w:sz w:val="24"/>
          <w:lang w:val="en-GB"/>
        </w:rPr>
        <w:t>18% Borrowing</w:t>
      </w:r>
    </w:p>
    <w:p w14:paraId="57499DF2" w14:textId="77777777" w:rsidR="00465380" w:rsidRPr="00E641B6" w:rsidRDefault="00465380" w:rsidP="00465380">
      <w:pPr>
        <w:pStyle w:val="ListParagraph"/>
        <w:numPr>
          <w:ilvl w:val="0"/>
          <w:numId w:val="21"/>
        </w:numPr>
        <w:rPr>
          <w:sz w:val="24"/>
          <w:lang w:val="en-GB"/>
        </w:rPr>
      </w:pPr>
      <w:r w:rsidRPr="00E641B6">
        <w:rPr>
          <w:sz w:val="24"/>
          <w:lang w:val="en-GB"/>
        </w:rPr>
        <w:lastRenderedPageBreak/>
        <w:t>15% User Fees</w:t>
      </w:r>
    </w:p>
    <w:p w14:paraId="4F2C1BEF" w14:textId="77777777" w:rsidR="00465380" w:rsidRPr="00E641B6" w:rsidRDefault="00465380" w:rsidP="00465380">
      <w:pPr>
        <w:pStyle w:val="ListParagraph"/>
        <w:numPr>
          <w:ilvl w:val="0"/>
          <w:numId w:val="21"/>
        </w:numPr>
        <w:rPr>
          <w:sz w:val="24"/>
          <w:lang w:val="en-GB"/>
        </w:rPr>
      </w:pPr>
      <w:r w:rsidRPr="00E641B6">
        <w:rPr>
          <w:sz w:val="24"/>
          <w:lang w:val="en-GB"/>
        </w:rPr>
        <w:t>7% Grants</w:t>
      </w:r>
    </w:p>
    <w:p w14:paraId="1504B065" w14:textId="77777777" w:rsidR="00465380" w:rsidRPr="00E641B6" w:rsidRDefault="00465380" w:rsidP="00465380">
      <w:pPr>
        <w:pStyle w:val="ListParagraph"/>
        <w:numPr>
          <w:ilvl w:val="0"/>
          <w:numId w:val="21"/>
        </w:numPr>
        <w:rPr>
          <w:sz w:val="24"/>
          <w:lang w:val="en-GB"/>
        </w:rPr>
      </w:pPr>
      <w:r w:rsidRPr="00E641B6">
        <w:rPr>
          <w:sz w:val="24"/>
          <w:lang w:val="en-GB"/>
        </w:rPr>
        <w:t>5% Dividend and Interest</w:t>
      </w:r>
    </w:p>
    <w:p w14:paraId="60694510" w14:textId="77777777" w:rsidR="00465380" w:rsidRPr="00E641B6" w:rsidRDefault="00465380" w:rsidP="00465380">
      <w:pPr>
        <w:pStyle w:val="ListParagraph"/>
        <w:numPr>
          <w:ilvl w:val="0"/>
          <w:numId w:val="21"/>
        </w:numPr>
        <w:rPr>
          <w:sz w:val="24"/>
          <w:lang w:val="en-GB"/>
        </w:rPr>
      </w:pPr>
      <w:r w:rsidRPr="00E641B6">
        <w:rPr>
          <w:sz w:val="24"/>
          <w:lang w:val="en-GB"/>
        </w:rPr>
        <w:t>5% Development Contributions</w:t>
      </w:r>
    </w:p>
    <w:p w14:paraId="4FBCEDE3" w14:textId="6FEFDFCA" w:rsidR="00465380" w:rsidRPr="00E641B6" w:rsidRDefault="00465380" w:rsidP="00465380">
      <w:pPr>
        <w:pStyle w:val="ListParagraph"/>
        <w:numPr>
          <w:ilvl w:val="0"/>
          <w:numId w:val="21"/>
        </w:numPr>
        <w:rPr>
          <w:sz w:val="24"/>
          <w:lang w:val="en-GB"/>
        </w:rPr>
      </w:pPr>
      <w:r w:rsidRPr="00E641B6">
        <w:rPr>
          <w:sz w:val="24"/>
          <w:lang w:val="en-GB"/>
        </w:rPr>
        <w:t>5% Other</w:t>
      </w:r>
    </w:p>
    <w:p w14:paraId="1ABCCA01" w14:textId="6340D6E1" w:rsidR="00465380" w:rsidRDefault="00465380" w:rsidP="00465380">
      <w:pPr>
        <w:pStyle w:val="Heading2"/>
        <w:rPr>
          <w:u w:color="AE2842"/>
        </w:rPr>
      </w:pPr>
      <w:bookmarkStart w:id="25" w:name="_Toc211422638"/>
      <w:r>
        <w:rPr>
          <w:u w:color="AE2842"/>
        </w:rPr>
        <w:t>How the money is spent</w:t>
      </w:r>
      <w:bookmarkEnd w:id="25"/>
    </w:p>
    <w:p w14:paraId="287BFFF2" w14:textId="77777777" w:rsidR="00465380" w:rsidRPr="00E641B6" w:rsidRDefault="00465380" w:rsidP="00465380">
      <w:pPr>
        <w:pStyle w:val="ListParagraph"/>
        <w:numPr>
          <w:ilvl w:val="0"/>
          <w:numId w:val="22"/>
        </w:numPr>
        <w:rPr>
          <w:sz w:val="24"/>
          <w:lang w:val="en-GB"/>
        </w:rPr>
      </w:pPr>
      <w:r w:rsidRPr="00E641B6">
        <w:rPr>
          <w:sz w:val="24"/>
          <w:lang w:val="en-GB"/>
        </w:rPr>
        <w:t>19% Community Services and Facilities</w:t>
      </w:r>
    </w:p>
    <w:p w14:paraId="57D72CDC" w14:textId="77777777" w:rsidR="00465380" w:rsidRPr="00E641B6" w:rsidRDefault="00465380" w:rsidP="00465380">
      <w:pPr>
        <w:pStyle w:val="ListParagraph"/>
        <w:numPr>
          <w:ilvl w:val="0"/>
          <w:numId w:val="22"/>
        </w:numPr>
        <w:rPr>
          <w:sz w:val="24"/>
          <w:lang w:val="en-GB"/>
        </w:rPr>
      </w:pPr>
      <w:r w:rsidRPr="00E641B6">
        <w:rPr>
          <w:sz w:val="24"/>
          <w:lang w:val="en-GB"/>
        </w:rPr>
        <w:t>18% Transport</w:t>
      </w:r>
    </w:p>
    <w:p w14:paraId="6FC6BD8F" w14:textId="77777777" w:rsidR="00465380" w:rsidRPr="00E641B6" w:rsidRDefault="00465380" w:rsidP="00465380">
      <w:pPr>
        <w:pStyle w:val="ListParagraph"/>
        <w:numPr>
          <w:ilvl w:val="0"/>
          <w:numId w:val="22"/>
        </w:numPr>
        <w:rPr>
          <w:sz w:val="24"/>
          <w:lang w:val="en-GB"/>
        </w:rPr>
      </w:pPr>
      <w:r w:rsidRPr="00E641B6">
        <w:rPr>
          <w:sz w:val="24"/>
          <w:lang w:val="en-GB"/>
        </w:rPr>
        <w:t>13% Wastewater</w:t>
      </w:r>
    </w:p>
    <w:p w14:paraId="12C101D0" w14:textId="66C7C9A1" w:rsidR="00465380" w:rsidRPr="00E641B6" w:rsidRDefault="00465380" w:rsidP="00465380">
      <w:pPr>
        <w:pStyle w:val="ListParagraph"/>
        <w:numPr>
          <w:ilvl w:val="0"/>
          <w:numId w:val="22"/>
        </w:numPr>
        <w:rPr>
          <w:sz w:val="24"/>
          <w:vertAlign w:val="superscript"/>
          <w:lang w:val="en-GB"/>
        </w:rPr>
      </w:pPr>
      <w:r w:rsidRPr="00E641B6">
        <w:rPr>
          <w:sz w:val="24"/>
          <w:lang w:val="en-GB"/>
        </w:rPr>
        <w:t>9% Economy</w:t>
      </w:r>
      <w:r w:rsidRPr="00E641B6">
        <w:rPr>
          <w:rStyle w:val="FootnoteReference"/>
          <w:sz w:val="24"/>
          <w:lang w:val="en-GB"/>
        </w:rPr>
        <w:footnoteReference w:id="51"/>
      </w:r>
    </w:p>
    <w:p w14:paraId="76C6161E" w14:textId="77777777" w:rsidR="00465380" w:rsidRPr="00E641B6" w:rsidRDefault="00465380" w:rsidP="00465380">
      <w:pPr>
        <w:pStyle w:val="ListParagraph"/>
        <w:numPr>
          <w:ilvl w:val="0"/>
          <w:numId w:val="22"/>
        </w:numPr>
        <w:rPr>
          <w:sz w:val="24"/>
          <w:lang w:val="en-GB"/>
        </w:rPr>
      </w:pPr>
      <w:r w:rsidRPr="00E641B6">
        <w:rPr>
          <w:sz w:val="24"/>
          <w:lang w:val="en-GB"/>
        </w:rPr>
        <w:t>9% Water Supply</w:t>
      </w:r>
    </w:p>
    <w:p w14:paraId="6FD2253B" w14:textId="77777777" w:rsidR="00465380" w:rsidRPr="00E641B6" w:rsidRDefault="00465380" w:rsidP="00465380">
      <w:pPr>
        <w:pStyle w:val="ListParagraph"/>
        <w:numPr>
          <w:ilvl w:val="0"/>
          <w:numId w:val="22"/>
        </w:numPr>
        <w:rPr>
          <w:sz w:val="24"/>
          <w:lang w:val="en-GB"/>
        </w:rPr>
      </w:pPr>
      <w:r w:rsidRPr="00E641B6">
        <w:rPr>
          <w:sz w:val="24"/>
          <w:lang w:val="en-GB"/>
        </w:rPr>
        <w:t>9% Waste Management</w:t>
      </w:r>
    </w:p>
    <w:p w14:paraId="173F33D7" w14:textId="77777777" w:rsidR="00465380" w:rsidRPr="00E641B6" w:rsidRDefault="00465380" w:rsidP="00465380">
      <w:pPr>
        <w:pStyle w:val="ListParagraph"/>
        <w:numPr>
          <w:ilvl w:val="0"/>
          <w:numId w:val="22"/>
        </w:numPr>
        <w:rPr>
          <w:sz w:val="24"/>
          <w:lang w:val="en-GB"/>
        </w:rPr>
      </w:pPr>
      <w:r w:rsidRPr="00E641B6">
        <w:rPr>
          <w:sz w:val="24"/>
          <w:lang w:val="en-GB"/>
        </w:rPr>
        <w:t>7% Regulatory Functions/Services</w:t>
      </w:r>
    </w:p>
    <w:p w14:paraId="1FF4FDC1" w14:textId="77777777" w:rsidR="00465380" w:rsidRPr="00E641B6" w:rsidRDefault="00465380" w:rsidP="00465380">
      <w:pPr>
        <w:pStyle w:val="ListParagraph"/>
        <w:numPr>
          <w:ilvl w:val="0"/>
          <w:numId w:val="22"/>
        </w:numPr>
        <w:rPr>
          <w:sz w:val="24"/>
          <w:lang w:val="en-GB"/>
        </w:rPr>
      </w:pPr>
      <w:r w:rsidRPr="00E641B6">
        <w:rPr>
          <w:sz w:val="24"/>
          <w:lang w:val="en-GB"/>
        </w:rPr>
        <w:t>6% Environment</w:t>
      </w:r>
    </w:p>
    <w:p w14:paraId="6266FEDA" w14:textId="77777777" w:rsidR="00465380" w:rsidRPr="00E641B6" w:rsidRDefault="00465380" w:rsidP="00465380">
      <w:pPr>
        <w:pStyle w:val="ListParagraph"/>
        <w:numPr>
          <w:ilvl w:val="0"/>
          <w:numId w:val="22"/>
        </w:numPr>
        <w:rPr>
          <w:sz w:val="24"/>
          <w:lang w:val="en-GB"/>
        </w:rPr>
      </w:pPr>
      <w:r w:rsidRPr="00E641B6">
        <w:rPr>
          <w:sz w:val="24"/>
          <w:lang w:val="en-GB"/>
        </w:rPr>
        <w:t>5% Stormwater</w:t>
      </w:r>
    </w:p>
    <w:p w14:paraId="6FD21852" w14:textId="14B798A0" w:rsidR="00465380" w:rsidRPr="00E641B6" w:rsidRDefault="00465380" w:rsidP="00465380">
      <w:pPr>
        <w:pStyle w:val="ListParagraph"/>
        <w:numPr>
          <w:ilvl w:val="0"/>
          <w:numId w:val="22"/>
        </w:numPr>
        <w:rPr>
          <w:sz w:val="24"/>
          <w:lang w:val="en-GB"/>
        </w:rPr>
      </w:pPr>
      <w:r w:rsidRPr="00E641B6">
        <w:rPr>
          <w:sz w:val="24"/>
          <w:lang w:val="en-GB"/>
        </w:rPr>
        <w:t>4% Local Democracy</w:t>
      </w:r>
    </w:p>
    <w:p w14:paraId="5CD6A6B3" w14:textId="7033E350" w:rsidR="00465380" w:rsidRPr="00E641B6" w:rsidRDefault="00465380" w:rsidP="00465380">
      <w:pPr>
        <w:rPr>
          <w:sz w:val="24"/>
          <w:lang w:val="en-GB"/>
        </w:rPr>
      </w:pPr>
      <w:r w:rsidRPr="00E641B6">
        <w:rPr>
          <w:sz w:val="24"/>
          <w:lang w:val="en-GB"/>
        </w:rPr>
        <w:t>Three Waters is 27% overall</w:t>
      </w:r>
      <w:r w:rsidR="00566296" w:rsidRPr="00E641B6">
        <w:rPr>
          <w:sz w:val="24"/>
          <w:lang w:val="en-GB"/>
        </w:rPr>
        <w:t>.</w:t>
      </w:r>
    </w:p>
    <w:p w14:paraId="11981765" w14:textId="12C636F1" w:rsidR="00A24ABD" w:rsidRPr="00E641B6" w:rsidRDefault="00A24ABD">
      <w:pPr>
        <w:rPr>
          <w:sz w:val="24"/>
          <w:lang w:val="en-GB"/>
        </w:rPr>
      </w:pPr>
      <w:r w:rsidRPr="00E641B6">
        <w:rPr>
          <w:sz w:val="24"/>
          <w:lang w:val="en-GB"/>
        </w:rPr>
        <w:br w:type="page"/>
      </w:r>
    </w:p>
    <w:p w14:paraId="6A15DBD6" w14:textId="77777777" w:rsidR="00B234A1" w:rsidRDefault="00B234A1" w:rsidP="00B234A1">
      <w:pPr>
        <w:pStyle w:val="Heading1"/>
        <w:rPr>
          <w:lang w:val="en-US"/>
        </w:rPr>
      </w:pPr>
      <w:bookmarkStart w:id="26" w:name="_Toc211422639"/>
      <w:r w:rsidRPr="00522312">
        <w:rPr>
          <w:lang w:val="en-US"/>
        </w:rPr>
        <w:lastRenderedPageBreak/>
        <w:t>Contact us</w:t>
      </w:r>
      <w:bookmarkEnd w:id="26"/>
    </w:p>
    <w:p w14:paraId="639F952E" w14:textId="77777777" w:rsidR="00B234A1" w:rsidRPr="00E641B6" w:rsidRDefault="00B234A1" w:rsidP="00B234A1">
      <w:pPr>
        <w:rPr>
          <w:sz w:val="24"/>
          <w:lang w:val="en-US"/>
        </w:rPr>
      </w:pPr>
      <w:r w:rsidRPr="00E641B6">
        <w:rPr>
          <w:b/>
          <w:bCs/>
          <w:sz w:val="24"/>
          <w:lang w:val="en-US"/>
        </w:rPr>
        <w:t>QUEENSTOWN OFFICE</w:t>
      </w:r>
      <w:r w:rsidRPr="00E641B6">
        <w:rPr>
          <w:sz w:val="24"/>
          <w:lang w:val="en-US"/>
        </w:rPr>
        <w:br/>
        <w:t>10 Gorge Road</w:t>
      </w:r>
      <w:r w:rsidRPr="00E641B6">
        <w:rPr>
          <w:sz w:val="24"/>
          <w:lang w:val="en-US"/>
        </w:rPr>
        <w:br/>
        <w:t>Queenstown</w:t>
      </w:r>
      <w:r w:rsidRPr="00E641B6">
        <w:rPr>
          <w:sz w:val="24"/>
          <w:lang w:val="en-US"/>
        </w:rPr>
        <w:br/>
        <w:t>Phone: +64 3 441 0499</w:t>
      </w:r>
    </w:p>
    <w:p w14:paraId="7C2AE9E3" w14:textId="77777777" w:rsidR="00B234A1" w:rsidRPr="00E641B6" w:rsidRDefault="00B234A1" w:rsidP="00B234A1">
      <w:pPr>
        <w:rPr>
          <w:sz w:val="24"/>
          <w:lang w:val="en-US"/>
        </w:rPr>
      </w:pPr>
      <w:r w:rsidRPr="00E641B6">
        <w:rPr>
          <w:b/>
          <w:bCs/>
          <w:sz w:val="24"/>
          <w:lang w:val="en-US"/>
        </w:rPr>
        <w:t>WĀNAKA OFFICE</w:t>
      </w:r>
      <w:r w:rsidRPr="00E641B6">
        <w:rPr>
          <w:sz w:val="24"/>
          <w:lang w:val="en-US"/>
        </w:rPr>
        <w:br/>
        <w:t>47 Ardmore Street</w:t>
      </w:r>
      <w:r w:rsidRPr="00E641B6">
        <w:rPr>
          <w:sz w:val="24"/>
          <w:lang w:val="en-US"/>
        </w:rPr>
        <w:br/>
      </w:r>
      <w:proofErr w:type="spellStart"/>
      <w:r w:rsidRPr="00E641B6">
        <w:rPr>
          <w:sz w:val="24"/>
          <w:lang w:val="en-US"/>
        </w:rPr>
        <w:t>Wānaka</w:t>
      </w:r>
      <w:proofErr w:type="spellEnd"/>
      <w:r w:rsidRPr="00E641B6">
        <w:rPr>
          <w:sz w:val="24"/>
          <w:lang w:val="en-US"/>
        </w:rPr>
        <w:br/>
        <w:t>Phone: +64 3 443 0024</w:t>
      </w:r>
    </w:p>
    <w:p w14:paraId="155BA40D" w14:textId="77777777" w:rsidR="00B234A1" w:rsidRPr="00E641B6" w:rsidRDefault="00B234A1" w:rsidP="00B234A1">
      <w:pPr>
        <w:rPr>
          <w:sz w:val="24"/>
          <w:lang w:val="en-US"/>
        </w:rPr>
      </w:pPr>
      <w:r w:rsidRPr="00E641B6">
        <w:rPr>
          <w:sz w:val="24"/>
          <w:lang w:val="en-US"/>
        </w:rPr>
        <w:t>Private Bag 50072</w:t>
      </w:r>
      <w:r w:rsidRPr="00E641B6">
        <w:rPr>
          <w:sz w:val="24"/>
          <w:lang w:val="en-US"/>
        </w:rPr>
        <w:br/>
        <w:t>Queenstown 9348</w:t>
      </w:r>
      <w:r w:rsidRPr="00E641B6">
        <w:rPr>
          <w:sz w:val="24"/>
          <w:lang w:val="en-US"/>
        </w:rPr>
        <w:br/>
        <w:t>New Zealand</w:t>
      </w:r>
    </w:p>
    <w:p w14:paraId="77B1407D" w14:textId="77777777" w:rsidR="00B234A1" w:rsidRPr="00E641B6" w:rsidRDefault="00B234A1" w:rsidP="00B234A1">
      <w:pPr>
        <w:rPr>
          <w:sz w:val="24"/>
          <w:lang w:val="en-US"/>
        </w:rPr>
      </w:pPr>
      <w:r w:rsidRPr="00E641B6">
        <w:rPr>
          <w:sz w:val="24"/>
          <w:lang w:val="en-US"/>
        </w:rPr>
        <w:t xml:space="preserve">Email: </w:t>
      </w:r>
      <w:hyperlink r:id="rId13" w:history="1">
        <w:r w:rsidRPr="00E641B6">
          <w:rPr>
            <w:rStyle w:val="Hyperlink"/>
            <w:sz w:val="24"/>
            <w:lang w:val="en-US"/>
          </w:rPr>
          <w:t>services@qldc.govt.nz</w:t>
        </w:r>
      </w:hyperlink>
      <w:r w:rsidRPr="00E641B6">
        <w:rPr>
          <w:sz w:val="24"/>
          <w:lang w:val="en-US"/>
        </w:rPr>
        <w:br/>
        <w:t xml:space="preserve">Website: </w:t>
      </w:r>
      <w:hyperlink r:id="rId14" w:history="1">
        <w:r w:rsidRPr="00E641B6">
          <w:rPr>
            <w:rStyle w:val="Hyperlink"/>
            <w:sz w:val="24"/>
            <w:lang w:val="en-US"/>
          </w:rPr>
          <w:t>www.qldc.govt.nz</w:t>
        </w:r>
      </w:hyperlink>
    </w:p>
    <w:p w14:paraId="3091A05B" w14:textId="4C22B911" w:rsidR="0038438C" w:rsidRPr="00E641B6" w:rsidRDefault="00B234A1" w:rsidP="0038438C">
      <w:pPr>
        <w:rPr>
          <w:sz w:val="24"/>
          <w:lang w:val="en-US"/>
        </w:rPr>
      </w:pPr>
      <w:r w:rsidRPr="00E641B6">
        <w:rPr>
          <w:sz w:val="24"/>
          <w:lang w:val="en-US"/>
        </w:rPr>
        <w:t>Facebook:</w:t>
      </w:r>
      <w:r w:rsidRPr="00E641B6">
        <w:rPr>
          <w:sz w:val="24"/>
          <w:lang w:val="en-US"/>
        </w:rPr>
        <w:br/>
      </w:r>
      <w:hyperlink r:id="rId15" w:history="1">
        <w:r w:rsidR="0038438C" w:rsidRPr="00E641B6">
          <w:rPr>
            <w:rStyle w:val="Hyperlink"/>
            <w:sz w:val="24"/>
            <w:lang w:val="en-US"/>
          </w:rPr>
          <w:t>https://www.facebook.com/QLDCinfo</w:t>
        </w:r>
      </w:hyperlink>
    </w:p>
    <w:p w14:paraId="282E9A04" w14:textId="45C08F81" w:rsidR="0038438C" w:rsidRPr="00E641B6" w:rsidRDefault="0038438C" w:rsidP="0038438C">
      <w:pPr>
        <w:rPr>
          <w:sz w:val="24"/>
          <w:lang w:val="en-US"/>
        </w:rPr>
      </w:pPr>
      <w:r w:rsidRPr="00E641B6">
        <w:rPr>
          <w:sz w:val="24"/>
          <w:lang w:val="en-US"/>
        </w:rPr>
        <w:t>Instagram:</w:t>
      </w:r>
      <w:r w:rsidRPr="00E641B6">
        <w:rPr>
          <w:sz w:val="24"/>
          <w:lang w:val="en-US"/>
        </w:rPr>
        <w:br/>
      </w:r>
      <w:hyperlink r:id="rId16" w:history="1">
        <w:r w:rsidRPr="00E641B6">
          <w:rPr>
            <w:rStyle w:val="Hyperlink"/>
            <w:sz w:val="24"/>
            <w:lang w:val="en-US"/>
          </w:rPr>
          <w:t>https://www.instagram.com/QLDCinfo</w:t>
        </w:r>
      </w:hyperlink>
    </w:p>
    <w:p w14:paraId="37C4BFBD" w14:textId="2FA3122C" w:rsidR="0038438C" w:rsidRPr="00E641B6" w:rsidRDefault="0038438C" w:rsidP="0038438C">
      <w:pPr>
        <w:rPr>
          <w:sz w:val="24"/>
          <w:lang w:val="en-US"/>
        </w:rPr>
      </w:pPr>
      <w:proofErr w:type="spellStart"/>
      <w:r w:rsidRPr="00E641B6">
        <w:rPr>
          <w:sz w:val="24"/>
          <w:lang w:val="en-US"/>
        </w:rPr>
        <w:t>Youtube</w:t>
      </w:r>
      <w:proofErr w:type="spellEnd"/>
      <w:r w:rsidRPr="00E641B6">
        <w:rPr>
          <w:sz w:val="24"/>
          <w:lang w:val="en-US"/>
        </w:rPr>
        <w:t>:</w:t>
      </w:r>
      <w:r w:rsidRPr="00E641B6">
        <w:rPr>
          <w:sz w:val="24"/>
          <w:lang w:val="en-US"/>
        </w:rPr>
        <w:br/>
      </w:r>
      <w:hyperlink r:id="rId17" w:history="1">
        <w:r w:rsidRPr="00E641B6">
          <w:rPr>
            <w:rStyle w:val="Hyperlink"/>
            <w:sz w:val="24"/>
            <w:lang w:val="en-US"/>
          </w:rPr>
          <w:t>https://www.youtube.com/@qldcinfo</w:t>
        </w:r>
      </w:hyperlink>
    </w:p>
    <w:p w14:paraId="6BAA1BB2" w14:textId="4100CE81" w:rsidR="0038438C" w:rsidRPr="00E641B6" w:rsidRDefault="00B234A1" w:rsidP="0038438C">
      <w:pPr>
        <w:rPr>
          <w:sz w:val="24"/>
          <w:lang w:val="en-US"/>
        </w:rPr>
      </w:pPr>
      <w:r w:rsidRPr="00E641B6">
        <w:rPr>
          <w:sz w:val="24"/>
          <w:lang w:val="en-US"/>
        </w:rPr>
        <w:t>LinkedIn:</w:t>
      </w:r>
      <w:r w:rsidR="0038438C" w:rsidRPr="00E641B6">
        <w:rPr>
          <w:sz w:val="24"/>
          <w:lang w:val="en-US"/>
        </w:rPr>
        <w:br/>
      </w:r>
      <w:hyperlink r:id="rId18" w:history="1">
        <w:r w:rsidR="0038438C" w:rsidRPr="00E641B6">
          <w:rPr>
            <w:rStyle w:val="Hyperlink"/>
            <w:sz w:val="24"/>
            <w:lang w:val="en-US"/>
          </w:rPr>
          <w:t>https://nz.linkedin.com/company/queenstown-lakes-district-council</w:t>
        </w:r>
      </w:hyperlink>
    </w:p>
    <w:p w14:paraId="57A2D61C" w14:textId="57300ABC" w:rsidR="00B234A1" w:rsidRPr="00E641B6" w:rsidRDefault="00B234A1" w:rsidP="00B234A1">
      <w:pPr>
        <w:rPr>
          <w:b/>
          <w:bCs/>
          <w:sz w:val="24"/>
          <w:lang w:val="en-GB"/>
        </w:rPr>
      </w:pPr>
      <w:r w:rsidRPr="00E641B6">
        <w:rPr>
          <w:b/>
          <w:bCs/>
          <w:sz w:val="24"/>
          <w:lang w:val="en-GB"/>
        </w:rPr>
        <w:t>QUEENSTOWN AIRPORT CORPORATION</w:t>
      </w:r>
      <w:r w:rsidR="0038438C" w:rsidRPr="00E641B6">
        <w:rPr>
          <w:rStyle w:val="FootnoteReference"/>
          <w:b/>
          <w:bCs/>
          <w:sz w:val="24"/>
          <w:lang w:val="en-GB"/>
        </w:rPr>
        <w:footnoteReference w:id="52"/>
      </w:r>
      <w:r w:rsidRPr="00E641B6">
        <w:rPr>
          <w:b/>
          <w:bCs/>
          <w:sz w:val="24"/>
          <w:lang w:val="en-GB"/>
        </w:rPr>
        <w:br/>
      </w:r>
      <w:r w:rsidRPr="00E641B6">
        <w:rPr>
          <w:sz w:val="24"/>
          <w:lang w:val="en-GB"/>
        </w:rPr>
        <w:t>PO Box 2641</w:t>
      </w:r>
      <w:r w:rsidRPr="00E641B6">
        <w:rPr>
          <w:sz w:val="24"/>
          <w:lang w:val="en-GB"/>
        </w:rPr>
        <w:br/>
        <w:t>Queenstown 9349</w:t>
      </w:r>
      <w:r w:rsidRPr="00E641B6">
        <w:rPr>
          <w:sz w:val="24"/>
          <w:lang w:val="en-GB"/>
        </w:rPr>
        <w:br/>
        <w:t>Phone: +64 3 450 9031</w:t>
      </w:r>
    </w:p>
    <w:p w14:paraId="1CFCDEC5" w14:textId="77777777" w:rsidR="00B234A1" w:rsidRPr="00E641B6" w:rsidRDefault="00B234A1" w:rsidP="00B234A1">
      <w:pPr>
        <w:rPr>
          <w:sz w:val="24"/>
          <w:lang w:val="en-GB"/>
        </w:rPr>
      </w:pPr>
      <w:r w:rsidRPr="00E641B6">
        <w:rPr>
          <w:b/>
          <w:bCs/>
          <w:sz w:val="24"/>
          <w:lang w:val="en-GB"/>
        </w:rPr>
        <w:t>AUDITORS</w:t>
      </w:r>
      <w:r w:rsidRPr="00E641B6">
        <w:rPr>
          <w:b/>
          <w:bCs/>
          <w:sz w:val="24"/>
          <w:lang w:val="en-GB"/>
        </w:rPr>
        <w:br/>
      </w:r>
      <w:r w:rsidRPr="00E641B6">
        <w:rPr>
          <w:sz w:val="24"/>
          <w:lang w:val="en-GB"/>
        </w:rPr>
        <w:t>Deloitte Limited on behalf of the Office of the Auditor-General, Dunedin</w:t>
      </w:r>
    </w:p>
    <w:p w14:paraId="2BFAE2F1" w14:textId="5AFF0A29" w:rsidR="00B234A1" w:rsidRPr="00E641B6" w:rsidRDefault="00B234A1" w:rsidP="00B234A1">
      <w:pPr>
        <w:rPr>
          <w:sz w:val="24"/>
          <w:lang w:val="en-GB"/>
        </w:rPr>
      </w:pPr>
      <w:r w:rsidRPr="00E641B6">
        <w:rPr>
          <w:b/>
          <w:bCs/>
          <w:sz w:val="24"/>
          <w:lang w:val="en-GB"/>
        </w:rPr>
        <w:t>SISTER CITY</w:t>
      </w:r>
      <w:r w:rsidRPr="00E641B6">
        <w:rPr>
          <w:b/>
          <w:bCs/>
          <w:sz w:val="24"/>
          <w:lang w:val="en-GB"/>
        </w:rPr>
        <w:br/>
      </w:r>
      <w:r w:rsidRPr="00E641B6">
        <w:rPr>
          <w:sz w:val="24"/>
          <w:lang w:val="en-GB"/>
        </w:rPr>
        <w:t>Aspen, Colorado, USA (Queenstown)</w:t>
      </w:r>
      <w:r w:rsidR="0038438C" w:rsidRPr="00E641B6">
        <w:rPr>
          <w:rStyle w:val="FootnoteReference"/>
          <w:sz w:val="24"/>
          <w:lang w:val="en-GB"/>
        </w:rPr>
        <w:footnoteReference w:id="53"/>
      </w:r>
    </w:p>
    <w:p w14:paraId="52E0F3F1" w14:textId="4C486693" w:rsidR="00B234A1" w:rsidRPr="00E641B6" w:rsidRDefault="00B234A1" w:rsidP="00B234A1">
      <w:pPr>
        <w:rPr>
          <w:sz w:val="24"/>
          <w:lang w:val="en-GB"/>
        </w:rPr>
      </w:pPr>
      <w:r w:rsidRPr="00E641B6">
        <w:rPr>
          <w:b/>
          <w:bCs/>
          <w:sz w:val="24"/>
          <w:lang w:val="en-GB"/>
        </w:rPr>
        <w:t>FRIENDSHIP CITY</w:t>
      </w:r>
      <w:r w:rsidRPr="00E641B6">
        <w:rPr>
          <w:b/>
          <w:bCs/>
          <w:sz w:val="24"/>
          <w:lang w:val="en-GB"/>
        </w:rPr>
        <w:br/>
      </w:r>
      <w:r w:rsidRPr="00E641B6">
        <w:rPr>
          <w:sz w:val="24"/>
          <w:lang w:val="en-GB"/>
        </w:rPr>
        <w:t>Hangzhou, China</w:t>
      </w:r>
      <w:r w:rsidR="0038438C" w:rsidRPr="00E641B6">
        <w:rPr>
          <w:rStyle w:val="FootnoteReference"/>
          <w:sz w:val="24"/>
          <w:lang w:val="en-GB"/>
        </w:rPr>
        <w:footnoteReference w:id="54"/>
      </w:r>
    </w:p>
    <w:p w14:paraId="5B7DDF29" w14:textId="5C36407E" w:rsidR="00387CDB" w:rsidRPr="00387CDB" w:rsidRDefault="00387CDB" w:rsidP="00387CDB">
      <w:pPr>
        <w:pStyle w:val="Heading2"/>
        <w:rPr>
          <w:lang w:val="en-GB"/>
        </w:rPr>
      </w:pPr>
      <w:r>
        <w:rPr>
          <w:lang w:val="en-US"/>
        </w:rPr>
        <w:br w:type="page"/>
      </w:r>
    </w:p>
    <w:p w14:paraId="10C112C6" w14:textId="62368BD2" w:rsidR="00444BD0" w:rsidRDefault="00444BD0" w:rsidP="00444BD0">
      <w:pPr>
        <w:pStyle w:val="Heading1"/>
        <w:rPr>
          <w:lang w:val="en-US"/>
        </w:rPr>
      </w:pPr>
      <w:bookmarkStart w:id="27" w:name="_Ref211422372"/>
      <w:bookmarkStart w:id="28" w:name="_Toc211422640"/>
      <w:r w:rsidRPr="00444BD0">
        <w:rPr>
          <w:lang w:val="en-US"/>
        </w:rPr>
        <w:lastRenderedPageBreak/>
        <w:t xml:space="preserve">Statement of Service Performance </w:t>
      </w:r>
      <w:r>
        <w:rPr>
          <w:lang w:val="en-US"/>
        </w:rPr>
        <w:t xml:space="preserve">| </w:t>
      </w:r>
      <w:proofErr w:type="spellStart"/>
      <w:r w:rsidRPr="00444BD0">
        <w:rPr>
          <w:lang w:val="en-US"/>
        </w:rPr>
        <w:t>Te</w:t>
      </w:r>
      <w:proofErr w:type="spellEnd"/>
      <w:r w:rsidRPr="00444BD0">
        <w:rPr>
          <w:lang w:val="en-US"/>
        </w:rPr>
        <w:t xml:space="preserve"> </w:t>
      </w:r>
      <w:proofErr w:type="spellStart"/>
      <w:r w:rsidRPr="00444BD0">
        <w:rPr>
          <w:lang w:val="en-US"/>
        </w:rPr>
        <w:t>tauākī</w:t>
      </w:r>
      <w:proofErr w:type="spellEnd"/>
      <w:r w:rsidRPr="00444BD0">
        <w:rPr>
          <w:lang w:val="en-US"/>
        </w:rPr>
        <w:t xml:space="preserve"> ā </w:t>
      </w:r>
      <w:proofErr w:type="spellStart"/>
      <w:r w:rsidRPr="00444BD0">
        <w:rPr>
          <w:lang w:val="en-US"/>
        </w:rPr>
        <w:t>kā</w:t>
      </w:r>
      <w:proofErr w:type="spellEnd"/>
      <w:r w:rsidRPr="00444BD0">
        <w:rPr>
          <w:lang w:val="en-US"/>
        </w:rPr>
        <w:t xml:space="preserve"> </w:t>
      </w:r>
      <w:proofErr w:type="spellStart"/>
      <w:r w:rsidRPr="00444BD0">
        <w:rPr>
          <w:lang w:val="en-US"/>
        </w:rPr>
        <w:t>ratoka</w:t>
      </w:r>
      <w:proofErr w:type="spellEnd"/>
      <w:r w:rsidRPr="00444BD0">
        <w:rPr>
          <w:lang w:val="en-US"/>
        </w:rPr>
        <w:t xml:space="preserve"> </w:t>
      </w:r>
      <w:proofErr w:type="spellStart"/>
      <w:r w:rsidRPr="00444BD0">
        <w:rPr>
          <w:lang w:val="en-US"/>
        </w:rPr>
        <w:t>kaunihera</w:t>
      </w:r>
      <w:bookmarkEnd w:id="27"/>
      <w:bookmarkEnd w:id="28"/>
      <w:proofErr w:type="spellEnd"/>
    </w:p>
    <w:p w14:paraId="73201228" w14:textId="12E3850E" w:rsidR="00C525F5" w:rsidRPr="00E641B6" w:rsidRDefault="00444BD0" w:rsidP="00444BD0">
      <w:pPr>
        <w:rPr>
          <w:sz w:val="24"/>
          <w:lang w:val="en-US"/>
        </w:rPr>
      </w:pPr>
      <w:r w:rsidRPr="00E641B6">
        <w:rPr>
          <w:sz w:val="24"/>
          <w:lang w:val="en-US"/>
        </w:rPr>
        <w:t>For further detail about each activity, please refer to page 25 in the Long Term Plan 2024-2034.</w:t>
      </w:r>
      <w:r w:rsidRPr="00E641B6">
        <w:rPr>
          <w:sz w:val="24"/>
          <w:lang w:val="en-US"/>
        </w:rPr>
        <w:br/>
      </w:r>
      <w:hyperlink r:id="rId19" w:anchor="2024-2034-ltp" w:history="1">
        <w:r w:rsidRPr="00E641B6">
          <w:rPr>
            <w:rStyle w:val="Hyperlink"/>
            <w:sz w:val="24"/>
            <w:lang w:val="en-US"/>
          </w:rPr>
          <w:t>https://www.qldc.govt.nz/your-council/council-documents/long-term-plan-ltp/#2024-2034-ltp</w:t>
        </w:r>
      </w:hyperlink>
    </w:p>
    <w:p w14:paraId="576C1367" w14:textId="55C16B3B" w:rsidR="00444BD0" w:rsidRDefault="00444BD0" w:rsidP="00444BD0">
      <w:pPr>
        <w:pStyle w:val="Heading2"/>
        <w:rPr>
          <w:lang w:val="en-GB"/>
        </w:rPr>
      </w:pPr>
      <w:bookmarkStart w:id="29" w:name="_Toc211422641"/>
      <w:r w:rsidRPr="00444BD0">
        <w:rPr>
          <w:lang w:val="en-GB"/>
        </w:rPr>
        <w:t xml:space="preserve">Community services and facilities </w:t>
      </w:r>
      <w:r>
        <w:rPr>
          <w:lang w:val="en-GB"/>
        </w:rPr>
        <w:t>|</w:t>
      </w:r>
      <w:r w:rsidRPr="00444BD0">
        <w:rPr>
          <w:lang w:val="en-GB"/>
        </w:rPr>
        <w:t xml:space="preserve"> </w:t>
      </w:r>
      <w:proofErr w:type="spellStart"/>
      <w:r w:rsidRPr="00444BD0">
        <w:rPr>
          <w:lang w:val="en-GB"/>
        </w:rPr>
        <w:t>Kā</w:t>
      </w:r>
      <w:proofErr w:type="spellEnd"/>
      <w:r w:rsidRPr="00444BD0">
        <w:rPr>
          <w:lang w:val="en-GB"/>
        </w:rPr>
        <w:t xml:space="preserve"> </w:t>
      </w:r>
      <w:proofErr w:type="spellStart"/>
      <w:r w:rsidRPr="00444BD0">
        <w:rPr>
          <w:lang w:val="en-GB"/>
        </w:rPr>
        <w:t>Ratoka</w:t>
      </w:r>
      <w:proofErr w:type="spellEnd"/>
      <w:r w:rsidRPr="00444BD0">
        <w:rPr>
          <w:lang w:val="en-GB"/>
        </w:rPr>
        <w:t xml:space="preserve"> me </w:t>
      </w:r>
      <w:proofErr w:type="spellStart"/>
      <w:r w:rsidRPr="00444BD0">
        <w:rPr>
          <w:lang w:val="en-GB"/>
        </w:rPr>
        <w:t>kā</w:t>
      </w:r>
      <w:proofErr w:type="spellEnd"/>
      <w:r w:rsidRPr="00444BD0">
        <w:rPr>
          <w:lang w:val="en-GB"/>
        </w:rPr>
        <w:t xml:space="preserve"> </w:t>
      </w:r>
      <w:proofErr w:type="spellStart"/>
      <w:r w:rsidRPr="00444BD0">
        <w:rPr>
          <w:lang w:val="en-GB"/>
        </w:rPr>
        <w:t>whare</w:t>
      </w:r>
      <w:proofErr w:type="spellEnd"/>
      <w:r w:rsidRPr="00444BD0">
        <w:rPr>
          <w:lang w:val="en-GB"/>
        </w:rPr>
        <w:t xml:space="preserve"> ā-</w:t>
      </w:r>
      <w:proofErr w:type="spellStart"/>
      <w:r w:rsidRPr="00444BD0">
        <w:rPr>
          <w:lang w:val="en-GB"/>
        </w:rPr>
        <w:t>hapori</w:t>
      </w:r>
      <w:bookmarkEnd w:id="29"/>
      <w:proofErr w:type="spellEnd"/>
    </w:p>
    <w:p w14:paraId="1F9926AE" w14:textId="69999CEE" w:rsidR="00444BD0" w:rsidRDefault="00444BD0" w:rsidP="00444BD0">
      <w:pPr>
        <w:pStyle w:val="Heading3"/>
        <w:rPr>
          <w:lang w:val="en-GB"/>
        </w:rPr>
      </w:pPr>
      <w:bookmarkStart w:id="30" w:name="_Toc211422642"/>
      <w:r w:rsidRPr="00444BD0">
        <w:rPr>
          <w:lang w:val="en-GB"/>
        </w:rPr>
        <w:t>How we performed</w:t>
      </w:r>
      <w:bookmarkEnd w:id="30"/>
    </w:p>
    <w:p w14:paraId="25ED6C2D" w14:textId="6EF6CE8E" w:rsidR="00444BD0" w:rsidRPr="00E641B6" w:rsidRDefault="00444BD0" w:rsidP="00444BD0">
      <w:pPr>
        <w:rPr>
          <w:sz w:val="24"/>
          <w:lang w:val="en-GB"/>
        </w:rPr>
      </w:pPr>
      <w:r w:rsidRPr="00E641B6">
        <w:rPr>
          <w:sz w:val="24"/>
          <w:lang w:val="en-GB"/>
        </w:rPr>
        <w:t>How QLDC performed against its Key Performance Indicators (KPIs).</w:t>
      </w:r>
    </w:p>
    <w:tbl>
      <w:tblPr>
        <w:tblStyle w:val="TableGrid"/>
        <w:tblW w:w="9572" w:type="dxa"/>
        <w:tblLayout w:type="fixed"/>
        <w:tblCellMar>
          <w:top w:w="115" w:type="dxa"/>
          <w:bottom w:w="115" w:type="dxa"/>
        </w:tblCellMar>
        <w:tblLook w:val="04A0" w:firstRow="1" w:lastRow="0" w:firstColumn="1" w:lastColumn="0" w:noHBand="0" w:noVBand="1"/>
      </w:tblPr>
      <w:tblGrid>
        <w:gridCol w:w="1838"/>
        <w:gridCol w:w="1361"/>
        <w:gridCol w:w="1361"/>
        <w:gridCol w:w="1361"/>
        <w:gridCol w:w="3651"/>
      </w:tblGrid>
      <w:tr w:rsidR="00843809" w:rsidRPr="00E641B6" w14:paraId="6A7DDB25" w14:textId="77777777" w:rsidTr="00BB1017">
        <w:trPr>
          <w:cantSplit/>
        </w:trPr>
        <w:tc>
          <w:tcPr>
            <w:tcW w:w="1838" w:type="dxa"/>
            <w:shd w:val="clear" w:color="auto" w:fill="BFBFBF" w:themeFill="background1" w:themeFillShade="BF"/>
          </w:tcPr>
          <w:p w14:paraId="1A87180B" w14:textId="632673C4" w:rsidR="00843809" w:rsidRPr="007B27E4" w:rsidRDefault="00843809" w:rsidP="00843809">
            <w:pPr>
              <w:rPr>
                <w:b/>
                <w:bCs/>
                <w:sz w:val="18"/>
                <w:szCs w:val="18"/>
                <w:lang w:val="en-US"/>
              </w:rPr>
            </w:pPr>
            <w:r w:rsidRPr="007B27E4">
              <w:rPr>
                <w:sz w:val="18"/>
                <w:szCs w:val="18"/>
              </w:rPr>
              <w:t>KPIs</w:t>
            </w:r>
          </w:p>
        </w:tc>
        <w:tc>
          <w:tcPr>
            <w:tcW w:w="1361" w:type="dxa"/>
            <w:shd w:val="clear" w:color="auto" w:fill="BFBFBF" w:themeFill="background1" w:themeFillShade="BF"/>
          </w:tcPr>
          <w:p w14:paraId="4BB21093" w14:textId="48D561F1" w:rsidR="00843809" w:rsidRPr="007B27E4" w:rsidRDefault="00843809" w:rsidP="00843809">
            <w:pPr>
              <w:rPr>
                <w:b/>
                <w:bCs/>
                <w:sz w:val="18"/>
                <w:szCs w:val="18"/>
                <w:lang w:val="en-US"/>
              </w:rPr>
            </w:pPr>
            <w:r w:rsidRPr="007B27E4">
              <w:rPr>
                <w:sz w:val="18"/>
                <w:szCs w:val="18"/>
              </w:rPr>
              <w:t xml:space="preserve">Baseline Performance </w:t>
            </w:r>
            <w:proofErr w:type="gramStart"/>
            <w:r w:rsidRPr="007B27E4">
              <w:rPr>
                <w:sz w:val="18"/>
                <w:szCs w:val="18"/>
              </w:rPr>
              <w:t>at</w:t>
            </w:r>
            <w:proofErr w:type="gramEnd"/>
            <w:r w:rsidRPr="007B27E4">
              <w:rPr>
                <w:sz w:val="18"/>
                <w:szCs w:val="18"/>
              </w:rPr>
              <w:t xml:space="preserve"> 30 June 2024</w:t>
            </w:r>
          </w:p>
        </w:tc>
        <w:tc>
          <w:tcPr>
            <w:tcW w:w="1361" w:type="dxa"/>
            <w:shd w:val="clear" w:color="auto" w:fill="BFBFBF" w:themeFill="background1" w:themeFillShade="BF"/>
          </w:tcPr>
          <w:p w14:paraId="0932A22F" w14:textId="575F75E1" w:rsidR="00843809" w:rsidRPr="007B27E4" w:rsidRDefault="00843809" w:rsidP="00843809">
            <w:pPr>
              <w:rPr>
                <w:b/>
                <w:bCs/>
                <w:sz w:val="18"/>
                <w:szCs w:val="18"/>
                <w:lang w:val="en-US"/>
              </w:rPr>
            </w:pPr>
            <w:r w:rsidRPr="007B27E4">
              <w:rPr>
                <w:sz w:val="18"/>
                <w:szCs w:val="18"/>
              </w:rPr>
              <w:t>Target for Year 1 of LTP 24-34</w:t>
            </w:r>
          </w:p>
        </w:tc>
        <w:tc>
          <w:tcPr>
            <w:tcW w:w="1361" w:type="dxa"/>
            <w:shd w:val="clear" w:color="auto" w:fill="BFBFBF" w:themeFill="background1" w:themeFillShade="BF"/>
          </w:tcPr>
          <w:p w14:paraId="7684A330" w14:textId="441DFB78" w:rsidR="00843809" w:rsidRPr="007B27E4" w:rsidRDefault="00843809" w:rsidP="00843809">
            <w:pPr>
              <w:rPr>
                <w:b/>
                <w:bCs/>
                <w:sz w:val="18"/>
                <w:szCs w:val="18"/>
                <w:lang w:val="en-US"/>
              </w:rPr>
            </w:pPr>
            <w:r w:rsidRPr="007B27E4">
              <w:rPr>
                <w:sz w:val="18"/>
                <w:szCs w:val="18"/>
              </w:rPr>
              <w:t>Annual Result 2024-2025</w:t>
            </w:r>
          </w:p>
        </w:tc>
        <w:tc>
          <w:tcPr>
            <w:tcW w:w="3651" w:type="dxa"/>
            <w:shd w:val="clear" w:color="auto" w:fill="BFBFBF" w:themeFill="background1" w:themeFillShade="BF"/>
          </w:tcPr>
          <w:p w14:paraId="59755887" w14:textId="6E010E63" w:rsidR="00843809" w:rsidRPr="007B27E4" w:rsidRDefault="00843809" w:rsidP="00843809">
            <w:pPr>
              <w:rPr>
                <w:b/>
                <w:bCs/>
                <w:sz w:val="18"/>
                <w:szCs w:val="18"/>
                <w:lang w:val="en-US"/>
              </w:rPr>
            </w:pPr>
            <w:r w:rsidRPr="007B27E4">
              <w:rPr>
                <w:sz w:val="18"/>
                <w:szCs w:val="18"/>
              </w:rPr>
              <w:t>Commentary</w:t>
            </w:r>
          </w:p>
        </w:tc>
      </w:tr>
      <w:tr w:rsidR="00843809" w:rsidRPr="00E641B6" w14:paraId="7309F27C" w14:textId="77777777" w:rsidTr="00BB1017">
        <w:trPr>
          <w:cantSplit/>
          <w:trHeight w:val="15"/>
        </w:trPr>
        <w:tc>
          <w:tcPr>
            <w:tcW w:w="1838" w:type="dxa"/>
            <w:shd w:val="clear" w:color="auto" w:fill="FFFFFF" w:themeFill="background1"/>
          </w:tcPr>
          <w:p w14:paraId="794D0B35" w14:textId="047ED40F" w:rsidR="00843809" w:rsidRPr="007B27E4" w:rsidRDefault="00843809" w:rsidP="00843809">
            <w:pPr>
              <w:rPr>
                <w:rFonts w:cs="HelveticaNeueLT Std"/>
                <w:sz w:val="18"/>
                <w:szCs w:val="18"/>
              </w:rPr>
            </w:pPr>
            <w:r w:rsidRPr="007B27E4">
              <w:rPr>
                <w:sz w:val="18"/>
                <w:szCs w:val="18"/>
              </w:rPr>
              <w:t>Percentage of Requests for Service (RFS) about freedom camping resolved within 20 working days.</w:t>
            </w:r>
          </w:p>
        </w:tc>
        <w:tc>
          <w:tcPr>
            <w:tcW w:w="1361" w:type="dxa"/>
            <w:shd w:val="clear" w:color="auto" w:fill="FFFFFF" w:themeFill="background1"/>
          </w:tcPr>
          <w:p w14:paraId="1BB3D842" w14:textId="7ECDA651" w:rsidR="00843809" w:rsidRPr="007B27E4" w:rsidRDefault="00843809" w:rsidP="00843809">
            <w:pPr>
              <w:rPr>
                <w:rFonts w:cs="HelveticaNeueLT Std"/>
                <w:sz w:val="18"/>
                <w:szCs w:val="18"/>
              </w:rPr>
            </w:pPr>
            <w:r w:rsidRPr="007B27E4">
              <w:rPr>
                <w:sz w:val="18"/>
                <w:szCs w:val="18"/>
              </w:rPr>
              <w:t>New Measure</w:t>
            </w:r>
          </w:p>
        </w:tc>
        <w:tc>
          <w:tcPr>
            <w:tcW w:w="1361" w:type="dxa"/>
            <w:shd w:val="clear" w:color="auto" w:fill="FFFFFF" w:themeFill="background1"/>
          </w:tcPr>
          <w:p w14:paraId="5D7C13F2" w14:textId="6A6FCB64" w:rsidR="00843809" w:rsidRPr="007B27E4" w:rsidRDefault="00843809" w:rsidP="00843809">
            <w:pPr>
              <w:rPr>
                <w:rFonts w:cs="HelveticaNeueLT Std"/>
                <w:sz w:val="18"/>
                <w:szCs w:val="18"/>
              </w:rPr>
            </w:pPr>
            <w:r w:rsidRPr="007B27E4">
              <w:rPr>
                <w:sz w:val="18"/>
                <w:szCs w:val="18"/>
              </w:rPr>
              <w:t>&gt;95%</w:t>
            </w:r>
          </w:p>
        </w:tc>
        <w:tc>
          <w:tcPr>
            <w:tcW w:w="1361" w:type="dxa"/>
            <w:shd w:val="clear" w:color="auto" w:fill="FFFFFF" w:themeFill="background1"/>
          </w:tcPr>
          <w:p w14:paraId="7C161F0D" w14:textId="27233294" w:rsidR="00843809" w:rsidRPr="007B27E4" w:rsidRDefault="00843809" w:rsidP="00843809">
            <w:pPr>
              <w:rPr>
                <w:rFonts w:cs="HelveticaNeueLT Std"/>
                <w:sz w:val="18"/>
                <w:szCs w:val="18"/>
              </w:rPr>
            </w:pPr>
            <w:r w:rsidRPr="007B27E4">
              <w:rPr>
                <w:sz w:val="18"/>
                <w:szCs w:val="18"/>
              </w:rPr>
              <w:t>99%</w:t>
            </w:r>
          </w:p>
        </w:tc>
        <w:tc>
          <w:tcPr>
            <w:tcW w:w="3651" w:type="dxa"/>
            <w:shd w:val="clear" w:color="auto" w:fill="FFFFFF" w:themeFill="background1"/>
          </w:tcPr>
          <w:p w14:paraId="63E9F3E4" w14:textId="3E89EEC1" w:rsidR="00951D54" w:rsidRPr="007B27E4" w:rsidRDefault="00951D54" w:rsidP="00843809">
            <w:pPr>
              <w:rPr>
                <w:rFonts w:cs="HelveticaNeueLT Std"/>
                <w:b/>
                <w:bCs/>
                <w:sz w:val="18"/>
                <w:szCs w:val="18"/>
              </w:rPr>
            </w:pPr>
            <w:r w:rsidRPr="007B27E4">
              <w:rPr>
                <w:rFonts w:cs="HelveticaNeueLT Std"/>
                <w:b/>
                <w:bCs/>
                <w:sz w:val="18"/>
                <w:szCs w:val="18"/>
              </w:rPr>
              <w:t xml:space="preserve">Target </w:t>
            </w:r>
            <w:r w:rsidR="00BB1017" w:rsidRPr="007B27E4">
              <w:rPr>
                <w:rFonts w:cs="HelveticaNeueLT Std"/>
                <w:b/>
                <w:bCs/>
                <w:sz w:val="18"/>
                <w:szCs w:val="18"/>
              </w:rPr>
              <w:t>a</w:t>
            </w:r>
            <w:r w:rsidRPr="007B27E4">
              <w:rPr>
                <w:rFonts w:cs="HelveticaNeueLT Std"/>
                <w:b/>
                <w:bCs/>
                <w:sz w:val="18"/>
                <w:szCs w:val="18"/>
              </w:rPr>
              <w:t>chieved.</w:t>
            </w:r>
          </w:p>
          <w:p w14:paraId="6A15EC7A" w14:textId="0B94BB81" w:rsidR="00843809" w:rsidRPr="007B27E4" w:rsidRDefault="00843809" w:rsidP="00843809">
            <w:pPr>
              <w:rPr>
                <w:rFonts w:cs="HelveticaNeueLT Std"/>
                <w:sz w:val="18"/>
                <w:szCs w:val="18"/>
              </w:rPr>
            </w:pPr>
            <w:r w:rsidRPr="007B27E4">
              <w:rPr>
                <w:rFonts w:cs="HelveticaNeueLT Std"/>
                <w:sz w:val="18"/>
                <w:szCs w:val="18"/>
              </w:rPr>
              <w:t xml:space="preserve">Between July 2024 and June 2025, 578 requests for service were received. Of these, 359 were requests for freedom camping enforcement, and 219 were for the responsible camping team. During the same period in the previous year, 350 requests for service were received, an increase of +65% year-on-year. </w:t>
            </w:r>
          </w:p>
          <w:p w14:paraId="661E06EB" w14:textId="69A6ACFD" w:rsidR="00843809" w:rsidRPr="007B27E4" w:rsidRDefault="00843809" w:rsidP="00843809">
            <w:pPr>
              <w:rPr>
                <w:rFonts w:cs="HelveticaNeueLT Std"/>
                <w:sz w:val="18"/>
                <w:szCs w:val="18"/>
              </w:rPr>
            </w:pPr>
            <w:r w:rsidRPr="007B27E4">
              <w:rPr>
                <w:rFonts w:cs="HelveticaNeueLT Std"/>
                <w:sz w:val="18"/>
                <w:szCs w:val="18"/>
              </w:rPr>
              <w:t>This year’s requests spanned 151 locations across the district and varied in content including requests for enforcement, signage, education, parking solutions, rubbish dumping, bylaw enquiries, feedback from campers or complaints regarding campers’ behaviour.</w:t>
            </w:r>
          </w:p>
          <w:p w14:paraId="77B22464" w14:textId="56E7C650" w:rsidR="00843809" w:rsidRPr="007B27E4" w:rsidRDefault="00843809" w:rsidP="00843809">
            <w:pPr>
              <w:rPr>
                <w:rFonts w:cs="HelveticaNeueLT Std"/>
                <w:sz w:val="18"/>
                <w:szCs w:val="18"/>
              </w:rPr>
            </w:pPr>
            <w:r w:rsidRPr="007B27E4">
              <w:rPr>
                <w:rFonts w:cs="HelveticaNeueLT Std"/>
                <w:sz w:val="18"/>
                <w:szCs w:val="18"/>
              </w:rPr>
              <w:t>Following the Court’s decision to quash the 2021 Freedom Camping Bylaw in September 2024, many restrictions across the district were lifted. This, paired with increasing visitor numbers contributed to the increase in RFS year on year.</w:t>
            </w:r>
          </w:p>
        </w:tc>
      </w:tr>
      <w:tr w:rsidR="00951D54" w:rsidRPr="00E641B6" w14:paraId="34139555" w14:textId="77777777" w:rsidTr="00BB1017">
        <w:trPr>
          <w:cantSplit/>
          <w:trHeight w:val="15"/>
        </w:trPr>
        <w:tc>
          <w:tcPr>
            <w:tcW w:w="1838" w:type="dxa"/>
            <w:shd w:val="clear" w:color="auto" w:fill="FFFFFF" w:themeFill="background1"/>
          </w:tcPr>
          <w:p w14:paraId="19AB0C4B" w14:textId="0231BB29" w:rsidR="00951D54" w:rsidRPr="007B27E4" w:rsidRDefault="00951D54" w:rsidP="00951D54">
            <w:pPr>
              <w:rPr>
                <w:sz w:val="18"/>
                <w:szCs w:val="18"/>
              </w:rPr>
            </w:pPr>
            <w:r w:rsidRPr="007B27E4">
              <w:rPr>
                <w:sz w:val="18"/>
                <w:szCs w:val="18"/>
              </w:rPr>
              <w:t>Total library borrowing (including books, e-books, e-audio and magazines).</w:t>
            </w:r>
          </w:p>
        </w:tc>
        <w:tc>
          <w:tcPr>
            <w:tcW w:w="1361" w:type="dxa"/>
            <w:shd w:val="clear" w:color="auto" w:fill="FFFFFF" w:themeFill="background1"/>
          </w:tcPr>
          <w:p w14:paraId="52034860" w14:textId="48E5CC04" w:rsidR="00951D54" w:rsidRPr="007B27E4" w:rsidRDefault="00951D54" w:rsidP="00951D54">
            <w:pPr>
              <w:rPr>
                <w:sz w:val="18"/>
                <w:szCs w:val="18"/>
              </w:rPr>
            </w:pPr>
            <w:r w:rsidRPr="007B27E4">
              <w:rPr>
                <w:sz w:val="18"/>
                <w:szCs w:val="18"/>
              </w:rPr>
              <w:t>582,787</w:t>
            </w:r>
          </w:p>
        </w:tc>
        <w:tc>
          <w:tcPr>
            <w:tcW w:w="1361" w:type="dxa"/>
            <w:shd w:val="clear" w:color="auto" w:fill="FFFFFF" w:themeFill="background1"/>
          </w:tcPr>
          <w:p w14:paraId="62FC6E61" w14:textId="32D0912B" w:rsidR="00951D54" w:rsidRPr="007B27E4" w:rsidRDefault="00951D54" w:rsidP="00951D54">
            <w:pPr>
              <w:rPr>
                <w:sz w:val="18"/>
                <w:szCs w:val="18"/>
              </w:rPr>
            </w:pPr>
            <w:r w:rsidRPr="007B27E4">
              <w:rPr>
                <w:sz w:val="18"/>
                <w:szCs w:val="18"/>
              </w:rPr>
              <w:t>6% increase to no. of physical and digital collection items checked out annually (617,754)</w:t>
            </w:r>
          </w:p>
        </w:tc>
        <w:tc>
          <w:tcPr>
            <w:tcW w:w="1361" w:type="dxa"/>
            <w:shd w:val="clear" w:color="auto" w:fill="FFFFFF" w:themeFill="background1"/>
          </w:tcPr>
          <w:p w14:paraId="09236179" w14:textId="065DF5B1" w:rsidR="00951D54" w:rsidRPr="007B27E4" w:rsidRDefault="00951D54" w:rsidP="00951D54">
            <w:pPr>
              <w:rPr>
                <w:sz w:val="18"/>
                <w:szCs w:val="18"/>
              </w:rPr>
            </w:pPr>
            <w:r w:rsidRPr="007B27E4">
              <w:rPr>
                <w:sz w:val="18"/>
                <w:szCs w:val="18"/>
              </w:rPr>
              <w:t>615,185</w:t>
            </w:r>
          </w:p>
        </w:tc>
        <w:tc>
          <w:tcPr>
            <w:tcW w:w="3651" w:type="dxa"/>
            <w:shd w:val="clear" w:color="auto" w:fill="FFFFFF" w:themeFill="background1"/>
          </w:tcPr>
          <w:p w14:paraId="1CA7068A" w14:textId="17ED28BB" w:rsidR="00BB1017" w:rsidRPr="007B27E4" w:rsidRDefault="00BB1017" w:rsidP="00BB1017">
            <w:pPr>
              <w:rPr>
                <w:rFonts w:cs="HelveticaNeueLT Std"/>
                <w:b/>
                <w:bCs/>
                <w:sz w:val="18"/>
                <w:szCs w:val="18"/>
              </w:rPr>
            </w:pPr>
            <w:r w:rsidRPr="007B27E4">
              <w:rPr>
                <w:rFonts w:cs="HelveticaNeueLT Std"/>
                <w:b/>
                <w:bCs/>
                <w:sz w:val="18"/>
                <w:szCs w:val="18"/>
              </w:rPr>
              <w:t>Target not achieved.</w:t>
            </w:r>
          </w:p>
          <w:p w14:paraId="2D5F1774" w14:textId="58B46C2E" w:rsidR="00951D54" w:rsidRPr="007B27E4" w:rsidRDefault="00951D54" w:rsidP="00951D54">
            <w:pPr>
              <w:rPr>
                <w:rFonts w:cs="HelveticaNeueLT Std"/>
                <w:sz w:val="18"/>
                <w:szCs w:val="18"/>
              </w:rPr>
            </w:pPr>
            <w:r w:rsidRPr="007B27E4">
              <w:rPr>
                <w:rFonts w:cs="HelveticaNeueLT Std"/>
                <w:sz w:val="18"/>
                <w:szCs w:val="18"/>
              </w:rPr>
              <w:t>In 2024/25, total combined checkouts of physical and electronic items (</w:t>
            </w:r>
            <w:proofErr w:type="spellStart"/>
            <w:r w:rsidRPr="007B27E4">
              <w:rPr>
                <w:rFonts w:cs="HelveticaNeueLT Std"/>
                <w:sz w:val="18"/>
                <w:szCs w:val="18"/>
              </w:rPr>
              <w:t>eItems</w:t>
            </w:r>
            <w:proofErr w:type="spellEnd"/>
            <w:r w:rsidRPr="007B27E4">
              <w:rPr>
                <w:rFonts w:cs="HelveticaNeueLT Std"/>
                <w:sz w:val="18"/>
                <w:szCs w:val="18"/>
              </w:rPr>
              <w:t xml:space="preserve">) reached 615,185 – just 0.4% (2,569 items) below the target of 617,754. Physical checkouts totalled 470,710, a 2% increase on the previous year, while </w:t>
            </w:r>
            <w:proofErr w:type="spellStart"/>
            <w:r w:rsidRPr="007B27E4">
              <w:rPr>
                <w:rFonts w:cs="HelveticaNeueLT Std"/>
                <w:sz w:val="18"/>
                <w:szCs w:val="18"/>
              </w:rPr>
              <w:t>eItem</w:t>
            </w:r>
            <w:proofErr w:type="spellEnd"/>
            <w:r w:rsidRPr="007B27E4">
              <w:rPr>
                <w:rFonts w:cs="HelveticaNeueLT Std"/>
                <w:sz w:val="18"/>
                <w:szCs w:val="18"/>
              </w:rPr>
              <w:t xml:space="preserve"> checkouts rose 29% to 144,475. Rural libraries showed significant increases in checkouts during the year.</w:t>
            </w:r>
          </w:p>
        </w:tc>
      </w:tr>
      <w:tr w:rsidR="00951D54" w:rsidRPr="00E641B6" w14:paraId="75979099" w14:textId="77777777" w:rsidTr="00BB1017">
        <w:trPr>
          <w:cantSplit/>
          <w:trHeight w:val="15"/>
        </w:trPr>
        <w:tc>
          <w:tcPr>
            <w:tcW w:w="1838" w:type="dxa"/>
            <w:shd w:val="clear" w:color="auto" w:fill="FFFFFF" w:themeFill="background1"/>
          </w:tcPr>
          <w:p w14:paraId="13F9C329" w14:textId="4ED9D834" w:rsidR="00951D54" w:rsidRPr="007B27E4" w:rsidRDefault="00951D54" w:rsidP="00951D54">
            <w:pPr>
              <w:rPr>
                <w:sz w:val="18"/>
                <w:szCs w:val="18"/>
              </w:rPr>
            </w:pPr>
            <w:r w:rsidRPr="007B27E4">
              <w:rPr>
                <w:sz w:val="18"/>
                <w:szCs w:val="18"/>
              </w:rPr>
              <w:lastRenderedPageBreak/>
              <w:t>Total number of sport and recreation participation visits per 1,000 residents.</w:t>
            </w:r>
          </w:p>
        </w:tc>
        <w:tc>
          <w:tcPr>
            <w:tcW w:w="1361" w:type="dxa"/>
            <w:shd w:val="clear" w:color="auto" w:fill="FFFFFF" w:themeFill="background1"/>
          </w:tcPr>
          <w:p w14:paraId="6FC0C0E7" w14:textId="164815EA" w:rsidR="00951D54" w:rsidRPr="007B27E4" w:rsidRDefault="00951D54" w:rsidP="00951D54">
            <w:pPr>
              <w:rPr>
                <w:sz w:val="18"/>
                <w:szCs w:val="18"/>
              </w:rPr>
            </w:pPr>
            <w:r w:rsidRPr="007B27E4">
              <w:rPr>
                <w:sz w:val="18"/>
                <w:szCs w:val="18"/>
              </w:rPr>
              <w:t>30,172</w:t>
            </w:r>
          </w:p>
        </w:tc>
        <w:tc>
          <w:tcPr>
            <w:tcW w:w="1361" w:type="dxa"/>
            <w:shd w:val="clear" w:color="auto" w:fill="FFFFFF" w:themeFill="background1"/>
          </w:tcPr>
          <w:p w14:paraId="50B542EC" w14:textId="667D6F5F" w:rsidR="00951D54" w:rsidRPr="007B27E4" w:rsidRDefault="00951D54" w:rsidP="00951D54">
            <w:pPr>
              <w:rPr>
                <w:sz w:val="18"/>
                <w:szCs w:val="18"/>
              </w:rPr>
            </w:pPr>
            <w:r w:rsidRPr="007B27E4">
              <w:rPr>
                <w:sz w:val="18"/>
                <w:szCs w:val="18"/>
              </w:rPr>
              <w:t>&gt;30,000 visits</w:t>
            </w:r>
          </w:p>
        </w:tc>
        <w:tc>
          <w:tcPr>
            <w:tcW w:w="1361" w:type="dxa"/>
            <w:shd w:val="clear" w:color="auto" w:fill="FFFFFF" w:themeFill="background1"/>
          </w:tcPr>
          <w:p w14:paraId="54D52BE1" w14:textId="752686A5" w:rsidR="00951D54" w:rsidRPr="007B27E4" w:rsidRDefault="00951D54" w:rsidP="00951D54">
            <w:pPr>
              <w:rPr>
                <w:sz w:val="18"/>
                <w:szCs w:val="18"/>
              </w:rPr>
            </w:pPr>
            <w:r w:rsidRPr="007B27E4">
              <w:rPr>
                <w:sz w:val="18"/>
                <w:szCs w:val="18"/>
              </w:rPr>
              <w:t>27,827</w:t>
            </w:r>
          </w:p>
        </w:tc>
        <w:tc>
          <w:tcPr>
            <w:tcW w:w="3651" w:type="dxa"/>
            <w:shd w:val="clear" w:color="auto" w:fill="FFFFFF" w:themeFill="background1"/>
          </w:tcPr>
          <w:p w14:paraId="591C7DAD" w14:textId="77777777" w:rsidR="00BB1017" w:rsidRPr="007B27E4" w:rsidRDefault="00BB1017" w:rsidP="00BB1017">
            <w:pPr>
              <w:rPr>
                <w:rFonts w:cs="HelveticaNeueLT Std"/>
                <w:b/>
                <w:bCs/>
                <w:sz w:val="18"/>
                <w:szCs w:val="18"/>
              </w:rPr>
            </w:pPr>
            <w:r w:rsidRPr="007B27E4">
              <w:rPr>
                <w:rFonts w:cs="HelveticaNeueLT Std"/>
                <w:b/>
                <w:bCs/>
                <w:sz w:val="18"/>
                <w:szCs w:val="18"/>
              </w:rPr>
              <w:t>Target not achieved.</w:t>
            </w:r>
          </w:p>
          <w:p w14:paraId="11012FE8" w14:textId="56F03B36" w:rsidR="00951D54" w:rsidRPr="007B27E4" w:rsidRDefault="00BB1017" w:rsidP="00951D54">
            <w:pPr>
              <w:rPr>
                <w:rFonts w:cs="HelveticaNeueLT Std"/>
                <w:sz w:val="18"/>
                <w:szCs w:val="18"/>
              </w:rPr>
            </w:pPr>
            <w:r w:rsidRPr="007B27E4">
              <w:rPr>
                <w:rFonts w:cs="HelveticaNeueLT Std"/>
                <w:sz w:val="18"/>
                <w:szCs w:val="18"/>
              </w:rPr>
              <w:t xml:space="preserve">The total visits per thousand of population at year end were 8% below target. </w:t>
            </w:r>
            <w:proofErr w:type="gramStart"/>
            <w:r w:rsidRPr="007B27E4">
              <w:rPr>
                <w:rFonts w:cs="HelveticaNeueLT Std"/>
                <w:sz w:val="18"/>
                <w:szCs w:val="18"/>
              </w:rPr>
              <w:t>With the exception of</w:t>
            </w:r>
            <w:proofErr w:type="gramEnd"/>
            <w:r w:rsidRPr="007B27E4">
              <w:rPr>
                <w:rFonts w:cs="HelveticaNeueLT Std"/>
                <w:sz w:val="18"/>
                <w:szCs w:val="18"/>
              </w:rPr>
              <w:t xml:space="preserve"> Queenstown venues and golf, participation increased across all other areas of Sport &amp; Recreation compared to last year.</w:t>
            </w:r>
          </w:p>
        </w:tc>
      </w:tr>
      <w:tr w:rsidR="00951D54" w:rsidRPr="00E641B6" w14:paraId="2F3802AB" w14:textId="77777777" w:rsidTr="00BB1017">
        <w:trPr>
          <w:cantSplit/>
          <w:trHeight w:val="15"/>
        </w:trPr>
        <w:tc>
          <w:tcPr>
            <w:tcW w:w="1838" w:type="dxa"/>
            <w:shd w:val="clear" w:color="auto" w:fill="FFFFFF" w:themeFill="background1"/>
          </w:tcPr>
          <w:p w14:paraId="532F30ED" w14:textId="0472BDD7" w:rsidR="00951D54" w:rsidRPr="007B27E4" w:rsidRDefault="00951D54" w:rsidP="00951D54">
            <w:pPr>
              <w:rPr>
                <w:sz w:val="18"/>
                <w:szCs w:val="18"/>
              </w:rPr>
            </w:pPr>
            <w:r w:rsidRPr="007B27E4">
              <w:rPr>
                <w:sz w:val="18"/>
                <w:szCs w:val="18"/>
              </w:rPr>
              <w:t xml:space="preserve">Achieve the National </w:t>
            </w:r>
            <w:proofErr w:type="spellStart"/>
            <w:r w:rsidRPr="007B27E4">
              <w:rPr>
                <w:sz w:val="18"/>
                <w:szCs w:val="18"/>
              </w:rPr>
              <w:t>Poolsafe</w:t>
            </w:r>
            <w:proofErr w:type="spellEnd"/>
            <w:r w:rsidRPr="007B27E4">
              <w:rPr>
                <w:sz w:val="18"/>
                <w:szCs w:val="18"/>
              </w:rPr>
              <w:t xml:space="preserve"> Accreditation for each of Council’s aquatic facilities annually (Alpine Aqualand, </w:t>
            </w:r>
            <w:proofErr w:type="spellStart"/>
            <w:r w:rsidRPr="007B27E4">
              <w:rPr>
                <w:sz w:val="18"/>
                <w:szCs w:val="18"/>
              </w:rPr>
              <w:t>Wānaka</w:t>
            </w:r>
            <w:proofErr w:type="spellEnd"/>
            <w:r w:rsidRPr="007B27E4">
              <w:rPr>
                <w:sz w:val="18"/>
                <w:szCs w:val="18"/>
              </w:rPr>
              <w:t xml:space="preserve"> Recreation Centre, Arrowtown Memorial Pool).</w:t>
            </w:r>
          </w:p>
        </w:tc>
        <w:tc>
          <w:tcPr>
            <w:tcW w:w="1361" w:type="dxa"/>
            <w:shd w:val="clear" w:color="auto" w:fill="FFFFFF" w:themeFill="background1"/>
          </w:tcPr>
          <w:p w14:paraId="5474DAC0" w14:textId="40E99029" w:rsidR="00951D54" w:rsidRPr="007B27E4" w:rsidRDefault="00951D54" w:rsidP="00951D54">
            <w:pPr>
              <w:rPr>
                <w:sz w:val="18"/>
                <w:szCs w:val="18"/>
              </w:rPr>
            </w:pPr>
            <w:r w:rsidRPr="007B27E4">
              <w:rPr>
                <w:sz w:val="18"/>
                <w:szCs w:val="18"/>
              </w:rPr>
              <w:t>New Measure</w:t>
            </w:r>
          </w:p>
        </w:tc>
        <w:tc>
          <w:tcPr>
            <w:tcW w:w="1361" w:type="dxa"/>
            <w:shd w:val="clear" w:color="auto" w:fill="FFFFFF" w:themeFill="background1"/>
          </w:tcPr>
          <w:p w14:paraId="21F8DA22" w14:textId="5B4C516E" w:rsidR="00951D54" w:rsidRPr="007B27E4" w:rsidRDefault="00951D54" w:rsidP="00951D54">
            <w:pPr>
              <w:rPr>
                <w:sz w:val="18"/>
                <w:szCs w:val="18"/>
              </w:rPr>
            </w:pPr>
            <w:r w:rsidRPr="007B27E4">
              <w:rPr>
                <w:sz w:val="18"/>
                <w:szCs w:val="18"/>
              </w:rPr>
              <w:t xml:space="preserve">Maintain </w:t>
            </w:r>
            <w:proofErr w:type="spellStart"/>
            <w:r w:rsidRPr="007B27E4">
              <w:rPr>
                <w:sz w:val="18"/>
                <w:szCs w:val="18"/>
              </w:rPr>
              <w:t>Poolsafe</w:t>
            </w:r>
            <w:proofErr w:type="spellEnd"/>
            <w:r w:rsidRPr="007B27E4">
              <w:rPr>
                <w:sz w:val="18"/>
                <w:szCs w:val="18"/>
              </w:rPr>
              <w:t xml:space="preserve"> accreditation – yearly audit</w:t>
            </w:r>
          </w:p>
        </w:tc>
        <w:tc>
          <w:tcPr>
            <w:tcW w:w="1361" w:type="dxa"/>
            <w:shd w:val="clear" w:color="auto" w:fill="FFFFFF" w:themeFill="background1"/>
          </w:tcPr>
          <w:p w14:paraId="62D510C8" w14:textId="19DCCF51" w:rsidR="00951D54" w:rsidRPr="007B27E4" w:rsidRDefault="00951D54" w:rsidP="00951D54">
            <w:pPr>
              <w:rPr>
                <w:sz w:val="18"/>
                <w:szCs w:val="18"/>
              </w:rPr>
            </w:pPr>
            <w:r w:rsidRPr="007B27E4">
              <w:rPr>
                <w:sz w:val="18"/>
                <w:szCs w:val="18"/>
              </w:rPr>
              <w:t>Achieved</w:t>
            </w:r>
          </w:p>
        </w:tc>
        <w:tc>
          <w:tcPr>
            <w:tcW w:w="3651" w:type="dxa"/>
            <w:shd w:val="clear" w:color="auto" w:fill="FFFFFF" w:themeFill="background1"/>
          </w:tcPr>
          <w:p w14:paraId="3904685E" w14:textId="7924A7E0" w:rsidR="00BB1017" w:rsidRPr="007B27E4" w:rsidRDefault="00BB1017" w:rsidP="00BB1017">
            <w:pPr>
              <w:rPr>
                <w:rFonts w:cs="HelveticaNeueLT Std"/>
                <w:b/>
                <w:bCs/>
                <w:sz w:val="18"/>
                <w:szCs w:val="18"/>
              </w:rPr>
            </w:pPr>
            <w:r w:rsidRPr="007B27E4">
              <w:rPr>
                <w:rFonts w:cs="HelveticaNeueLT Std"/>
                <w:b/>
                <w:bCs/>
                <w:sz w:val="18"/>
                <w:szCs w:val="18"/>
              </w:rPr>
              <w:t>Target achieved.</w:t>
            </w:r>
          </w:p>
          <w:p w14:paraId="22F1BEF8" w14:textId="5E3F2F3F" w:rsidR="00951D54" w:rsidRPr="007B27E4" w:rsidRDefault="00BB1017" w:rsidP="00951D54">
            <w:pPr>
              <w:rPr>
                <w:rFonts w:cs="HelveticaNeueLT Std"/>
                <w:sz w:val="18"/>
                <w:szCs w:val="18"/>
              </w:rPr>
            </w:pPr>
            <w:proofErr w:type="spellStart"/>
            <w:r w:rsidRPr="007B27E4">
              <w:rPr>
                <w:rFonts w:cs="HelveticaNeueLT Std"/>
                <w:sz w:val="18"/>
                <w:szCs w:val="18"/>
              </w:rPr>
              <w:t>PoolSafe</w:t>
            </w:r>
            <w:proofErr w:type="spellEnd"/>
            <w:r w:rsidRPr="007B27E4">
              <w:rPr>
                <w:rFonts w:cs="HelveticaNeueLT Std"/>
                <w:sz w:val="18"/>
                <w:szCs w:val="18"/>
              </w:rPr>
              <w:t xml:space="preserve"> accreditation achieved in February 2025 for </w:t>
            </w:r>
            <w:proofErr w:type="spellStart"/>
            <w:r w:rsidRPr="007B27E4">
              <w:rPr>
                <w:rFonts w:cs="HelveticaNeueLT Std"/>
                <w:sz w:val="18"/>
                <w:szCs w:val="18"/>
              </w:rPr>
              <w:t>Wānaka</w:t>
            </w:r>
            <w:proofErr w:type="spellEnd"/>
            <w:r w:rsidRPr="007B27E4">
              <w:rPr>
                <w:rFonts w:cs="HelveticaNeueLT Std"/>
                <w:sz w:val="18"/>
                <w:szCs w:val="18"/>
              </w:rPr>
              <w:t xml:space="preserve"> pool, Arrowtown Memorial pool and Alpine Aqualand.</w:t>
            </w:r>
          </w:p>
        </w:tc>
      </w:tr>
      <w:tr w:rsidR="00951D54" w:rsidRPr="00E641B6" w14:paraId="7D1CAA53" w14:textId="77777777" w:rsidTr="00BB1017">
        <w:trPr>
          <w:cantSplit/>
          <w:trHeight w:val="15"/>
        </w:trPr>
        <w:tc>
          <w:tcPr>
            <w:tcW w:w="1838" w:type="dxa"/>
            <w:shd w:val="clear" w:color="auto" w:fill="FFFFFF" w:themeFill="background1"/>
          </w:tcPr>
          <w:p w14:paraId="3A51C885" w14:textId="5059D6CA" w:rsidR="00951D54" w:rsidRPr="007B27E4" w:rsidRDefault="00951D54" w:rsidP="00951D54">
            <w:pPr>
              <w:rPr>
                <w:sz w:val="18"/>
                <w:szCs w:val="18"/>
              </w:rPr>
            </w:pPr>
            <w:r w:rsidRPr="007B27E4">
              <w:rPr>
                <w:sz w:val="18"/>
                <w:szCs w:val="18"/>
              </w:rPr>
              <w:t>Percentage of capital works completed annually (including renewals) against the annual budget adopted by Council for community facilities and property.</w:t>
            </w:r>
          </w:p>
        </w:tc>
        <w:tc>
          <w:tcPr>
            <w:tcW w:w="1361" w:type="dxa"/>
            <w:shd w:val="clear" w:color="auto" w:fill="FFFFFF" w:themeFill="background1"/>
          </w:tcPr>
          <w:p w14:paraId="6E86739A" w14:textId="2191F666" w:rsidR="00951D54" w:rsidRPr="007B27E4" w:rsidRDefault="00951D54" w:rsidP="00951D54">
            <w:pPr>
              <w:rPr>
                <w:sz w:val="18"/>
                <w:szCs w:val="18"/>
              </w:rPr>
            </w:pPr>
            <w:r w:rsidRPr="007B27E4">
              <w:rPr>
                <w:sz w:val="18"/>
                <w:szCs w:val="18"/>
              </w:rPr>
              <w:t>61%</w:t>
            </w:r>
          </w:p>
        </w:tc>
        <w:tc>
          <w:tcPr>
            <w:tcW w:w="1361" w:type="dxa"/>
            <w:shd w:val="clear" w:color="auto" w:fill="FFFFFF" w:themeFill="background1"/>
          </w:tcPr>
          <w:p w14:paraId="370DBA41" w14:textId="77A679EC" w:rsidR="00951D54" w:rsidRPr="007B27E4" w:rsidRDefault="00951D54" w:rsidP="00951D54">
            <w:pPr>
              <w:rPr>
                <w:sz w:val="18"/>
                <w:szCs w:val="18"/>
              </w:rPr>
            </w:pPr>
            <w:r w:rsidRPr="007B27E4">
              <w:rPr>
                <w:sz w:val="18"/>
                <w:szCs w:val="18"/>
              </w:rPr>
              <w:t>80%-110%</w:t>
            </w:r>
          </w:p>
        </w:tc>
        <w:tc>
          <w:tcPr>
            <w:tcW w:w="1361" w:type="dxa"/>
            <w:shd w:val="clear" w:color="auto" w:fill="FFFFFF" w:themeFill="background1"/>
          </w:tcPr>
          <w:p w14:paraId="24AF2B41" w14:textId="48A04EE4" w:rsidR="00951D54" w:rsidRPr="007B27E4" w:rsidRDefault="00951D54" w:rsidP="00951D54">
            <w:pPr>
              <w:rPr>
                <w:sz w:val="18"/>
                <w:szCs w:val="18"/>
              </w:rPr>
            </w:pPr>
            <w:r w:rsidRPr="007B27E4">
              <w:rPr>
                <w:sz w:val="18"/>
                <w:szCs w:val="18"/>
              </w:rPr>
              <w:t>90%</w:t>
            </w:r>
          </w:p>
        </w:tc>
        <w:tc>
          <w:tcPr>
            <w:tcW w:w="3651" w:type="dxa"/>
            <w:shd w:val="clear" w:color="auto" w:fill="FFFFFF" w:themeFill="background1"/>
          </w:tcPr>
          <w:p w14:paraId="0ADBC863" w14:textId="77777777" w:rsidR="00BB1017" w:rsidRPr="007B27E4" w:rsidRDefault="00BB1017" w:rsidP="00BB1017">
            <w:pPr>
              <w:rPr>
                <w:rFonts w:cs="HelveticaNeueLT Std"/>
                <w:b/>
                <w:bCs/>
                <w:sz w:val="18"/>
                <w:szCs w:val="18"/>
              </w:rPr>
            </w:pPr>
            <w:r w:rsidRPr="007B27E4">
              <w:rPr>
                <w:rFonts w:cs="HelveticaNeueLT Std"/>
                <w:b/>
                <w:bCs/>
                <w:sz w:val="18"/>
                <w:szCs w:val="18"/>
              </w:rPr>
              <w:t>Target achieved.</w:t>
            </w:r>
          </w:p>
          <w:p w14:paraId="6F1B15B5" w14:textId="244875CC" w:rsidR="00951D54" w:rsidRPr="007B27E4" w:rsidRDefault="00BB1017" w:rsidP="00951D54">
            <w:pPr>
              <w:rPr>
                <w:rFonts w:cs="HelveticaNeueLT Std"/>
                <w:sz w:val="18"/>
                <w:szCs w:val="18"/>
              </w:rPr>
            </w:pPr>
            <w:r w:rsidRPr="007B27E4">
              <w:rPr>
                <w:rFonts w:cs="HelveticaNeueLT Std"/>
                <w:sz w:val="18"/>
                <w:szCs w:val="18"/>
              </w:rPr>
              <w:t>Target achieved for capital programme investment.</w:t>
            </w:r>
          </w:p>
        </w:tc>
      </w:tr>
      <w:tr w:rsidR="00951D54" w:rsidRPr="00E641B6" w14:paraId="7B85E646" w14:textId="77777777" w:rsidTr="00BB1017">
        <w:trPr>
          <w:cantSplit/>
          <w:trHeight w:val="15"/>
        </w:trPr>
        <w:tc>
          <w:tcPr>
            <w:tcW w:w="1838" w:type="dxa"/>
            <w:shd w:val="clear" w:color="auto" w:fill="FFFFFF" w:themeFill="background1"/>
          </w:tcPr>
          <w:p w14:paraId="16812142" w14:textId="0ABD257A" w:rsidR="00951D54" w:rsidRPr="007B27E4" w:rsidRDefault="00951D54" w:rsidP="00951D54">
            <w:pPr>
              <w:rPr>
                <w:sz w:val="18"/>
                <w:szCs w:val="18"/>
              </w:rPr>
            </w:pPr>
            <w:r w:rsidRPr="007B27E4">
              <w:rPr>
                <w:sz w:val="18"/>
                <w:szCs w:val="18"/>
              </w:rPr>
              <w:t>Percentage of total community grants budget allocated.</w:t>
            </w:r>
          </w:p>
        </w:tc>
        <w:tc>
          <w:tcPr>
            <w:tcW w:w="1361" w:type="dxa"/>
            <w:shd w:val="clear" w:color="auto" w:fill="FFFFFF" w:themeFill="background1"/>
          </w:tcPr>
          <w:p w14:paraId="72E5AAA1" w14:textId="155377D0" w:rsidR="00951D54" w:rsidRPr="007B27E4" w:rsidRDefault="00951D54" w:rsidP="00951D54">
            <w:pPr>
              <w:rPr>
                <w:sz w:val="18"/>
                <w:szCs w:val="18"/>
              </w:rPr>
            </w:pPr>
            <w:r w:rsidRPr="007B27E4">
              <w:rPr>
                <w:sz w:val="18"/>
                <w:szCs w:val="18"/>
              </w:rPr>
              <w:t>New Measure</w:t>
            </w:r>
          </w:p>
        </w:tc>
        <w:tc>
          <w:tcPr>
            <w:tcW w:w="1361" w:type="dxa"/>
            <w:shd w:val="clear" w:color="auto" w:fill="FFFFFF" w:themeFill="background1"/>
          </w:tcPr>
          <w:p w14:paraId="6FCFD188" w14:textId="3E282CC5" w:rsidR="00951D54" w:rsidRPr="007B27E4" w:rsidRDefault="00951D54" w:rsidP="00951D54">
            <w:pPr>
              <w:rPr>
                <w:sz w:val="18"/>
                <w:szCs w:val="18"/>
              </w:rPr>
            </w:pPr>
            <w:r w:rsidRPr="007B27E4">
              <w:rPr>
                <w:sz w:val="18"/>
                <w:szCs w:val="18"/>
              </w:rPr>
              <w:t>100%</w:t>
            </w:r>
          </w:p>
        </w:tc>
        <w:tc>
          <w:tcPr>
            <w:tcW w:w="1361" w:type="dxa"/>
            <w:shd w:val="clear" w:color="auto" w:fill="FFFFFF" w:themeFill="background1"/>
          </w:tcPr>
          <w:p w14:paraId="12A62FBE" w14:textId="264A62FA" w:rsidR="00951D54" w:rsidRPr="007B27E4" w:rsidRDefault="00951D54" w:rsidP="00951D54">
            <w:pPr>
              <w:rPr>
                <w:sz w:val="18"/>
                <w:szCs w:val="18"/>
              </w:rPr>
            </w:pPr>
            <w:r w:rsidRPr="007B27E4">
              <w:rPr>
                <w:sz w:val="18"/>
                <w:szCs w:val="18"/>
              </w:rPr>
              <w:t>100%</w:t>
            </w:r>
          </w:p>
        </w:tc>
        <w:tc>
          <w:tcPr>
            <w:tcW w:w="3651" w:type="dxa"/>
            <w:shd w:val="clear" w:color="auto" w:fill="FFFFFF" w:themeFill="background1"/>
          </w:tcPr>
          <w:p w14:paraId="0C842407" w14:textId="77777777" w:rsidR="00BB1017" w:rsidRPr="007B27E4" w:rsidRDefault="00BB1017" w:rsidP="00BB1017">
            <w:pPr>
              <w:rPr>
                <w:rFonts w:cs="HelveticaNeueLT Std"/>
                <w:b/>
                <w:bCs/>
                <w:sz w:val="18"/>
                <w:szCs w:val="18"/>
              </w:rPr>
            </w:pPr>
            <w:r w:rsidRPr="007B27E4">
              <w:rPr>
                <w:rFonts w:cs="HelveticaNeueLT Std"/>
                <w:b/>
                <w:bCs/>
                <w:sz w:val="18"/>
                <w:szCs w:val="18"/>
              </w:rPr>
              <w:t>Target achieved.</w:t>
            </w:r>
          </w:p>
          <w:p w14:paraId="0C823DB4" w14:textId="2CA33710" w:rsidR="00951D54" w:rsidRPr="007B27E4" w:rsidRDefault="00BB1017" w:rsidP="00951D54">
            <w:pPr>
              <w:rPr>
                <w:rFonts w:cs="HelveticaNeueLT Std"/>
                <w:sz w:val="18"/>
                <w:szCs w:val="18"/>
              </w:rPr>
            </w:pPr>
            <w:r w:rsidRPr="007B27E4">
              <w:rPr>
                <w:rFonts w:cs="HelveticaNeueLT Std"/>
                <w:sz w:val="18"/>
                <w:szCs w:val="18"/>
              </w:rPr>
              <w:t>In 2024-2025 all major community funds were delivered through new system ‘</w:t>
            </w:r>
            <w:proofErr w:type="spellStart"/>
            <w:r w:rsidRPr="007B27E4">
              <w:rPr>
                <w:rFonts w:cs="HelveticaNeueLT Std"/>
                <w:sz w:val="18"/>
                <w:szCs w:val="18"/>
              </w:rPr>
              <w:t>SmartyGrants</w:t>
            </w:r>
            <w:proofErr w:type="spellEnd"/>
            <w:r w:rsidRPr="007B27E4">
              <w:rPr>
                <w:rFonts w:cs="HelveticaNeueLT Std"/>
                <w:sz w:val="18"/>
                <w:szCs w:val="18"/>
              </w:rPr>
              <w:t>’, with 100% of the annual grants budget allocated. Demand remained high, with over $1.7 million requested across four funds and $527,000 granted. Improvements were made to grant workflows, post-funding reporting, and decision-making processes. Capability building was also prioritised, with funding workshops delivered district-wide in collaboration with key partners to support local groups and improve grant readiness.</w:t>
            </w:r>
          </w:p>
        </w:tc>
      </w:tr>
      <w:tr w:rsidR="00951D54" w:rsidRPr="00E641B6" w14:paraId="3B2D3D56" w14:textId="77777777" w:rsidTr="00BB1017">
        <w:trPr>
          <w:cantSplit/>
          <w:trHeight w:val="15"/>
        </w:trPr>
        <w:tc>
          <w:tcPr>
            <w:tcW w:w="1838" w:type="dxa"/>
            <w:shd w:val="clear" w:color="auto" w:fill="FFFFFF" w:themeFill="background1"/>
          </w:tcPr>
          <w:p w14:paraId="7F2F272B" w14:textId="3B7E2922" w:rsidR="00951D54" w:rsidRPr="007B27E4" w:rsidRDefault="00951D54" w:rsidP="00951D54">
            <w:pPr>
              <w:rPr>
                <w:sz w:val="18"/>
                <w:szCs w:val="18"/>
              </w:rPr>
            </w:pPr>
            <w:r w:rsidRPr="007B27E4">
              <w:rPr>
                <w:sz w:val="18"/>
                <w:szCs w:val="18"/>
              </w:rPr>
              <w:t>Percentage of requests for service (RFS) resolved within specific timeframe for parks, reserves, trails, gardens and playgrounds.</w:t>
            </w:r>
          </w:p>
        </w:tc>
        <w:tc>
          <w:tcPr>
            <w:tcW w:w="1361" w:type="dxa"/>
            <w:shd w:val="clear" w:color="auto" w:fill="FFFFFF" w:themeFill="background1"/>
          </w:tcPr>
          <w:p w14:paraId="4EFE9242" w14:textId="71FCDA69" w:rsidR="00951D54" w:rsidRPr="007B27E4" w:rsidRDefault="00951D54" w:rsidP="00951D54">
            <w:pPr>
              <w:rPr>
                <w:sz w:val="18"/>
                <w:szCs w:val="18"/>
              </w:rPr>
            </w:pPr>
            <w:r w:rsidRPr="007B27E4">
              <w:rPr>
                <w:sz w:val="18"/>
                <w:szCs w:val="18"/>
              </w:rPr>
              <w:t>94.5%</w:t>
            </w:r>
          </w:p>
        </w:tc>
        <w:tc>
          <w:tcPr>
            <w:tcW w:w="1361" w:type="dxa"/>
            <w:shd w:val="clear" w:color="auto" w:fill="FFFFFF" w:themeFill="background1"/>
          </w:tcPr>
          <w:p w14:paraId="173DCEB6" w14:textId="0C53DEEA" w:rsidR="00951D54" w:rsidRPr="007B27E4" w:rsidRDefault="00951D54" w:rsidP="00951D54">
            <w:pPr>
              <w:rPr>
                <w:sz w:val="18"/>
                <w:szCs w:val="18"/>
              </w:rPr>
            </w:pPr>
            <w:r w:rsidRPr="007B27E4">
              <w:rPr>
                <w:sz w:val="18"/>
                <w:szCs w:val="18"/>
              </w:rPr>
              <w:t>95%</w:t>
            </w:r>
          </w:p>
        </w:tc>
        <w:tc>
          <w:tcPr>
            <w:tcW w:w="1361" w:type="dxa"/>
            <w:shd w:val="clear" w:color="auto" w:fill="FFFFFF" w:themeFill="background1"/>
          </w:tcPr>
          <w:p w14:paraId="392FE2B3" w14:textId="089B78B9" w:rsidR="00951D54" w:rsidRPr="007B27E4" w:rsidRDefault="00951D54" w:rsidP="00951D54">
            <w:pPr>
              <w:rPr>
                <w:sz w:val="18"/>
                <w:szCs w:val="18"/>
              </w:rPr>
            </w:pPr>
            <w:r w:rsidRPr="007B27E4">
              <w:rPr>
                <w:sz w:val="18"/>
                <w:szCs w:val="18"/>
              </w:rPr>
              <w:t>96.75%</w:t>
            </w:r>
          </w:p>
        </w:tc>
        <w:tc>
          <w:tcPr>
            <w:tcW w:w="3651" w:type="dxa"/>
            <w:shd w:val="clear" w:color="auto" w:fill="FFFFFF" w:themeFill="background1"/>
          </w:tcPr>
          <w:p w14:paraId="377BFA04" w14:textId="77777777" w:rsidR="00BB1017" w:rsidRPr="007B27E4" w:rsidRDefault="00BB1017" w:rsidP="00BB1017">
            <w:pPr>
              <w:rPr>
                <w:rFonts w:cs="HelveticaNeueLT Std"/>
                <w:b/>
                <w:bCs/>
                <w:sz w:val="18"/>
                <w:szCs w:val="18"/>
              </w:rPr>
            </w:pPr>
            <w:r w:rsidRPr="007B27E4">
              <w:rPr>
                <w:rFonts w:cs="HelveticaNeueLT Std"/>
                <w:b/>
                <w:bCs/>
                <w:sz w:val="18"/>
                <w:szCs w:val="18"/>
              </w:rPr>
              <w:t>Target achieved.</w:t>
            </w:r>
          </w:p>
          <w:p w14:paraId="7D18CAE9" w14:textId="4466D165" w:rsidR="00951D54" w:rsidRPr="007B27E4" w:rsidRDefault="00BB1017" w:rsidP="00951D54">
            <w:pPr>
              <w:rPr>
                <w:rFonts w:cs="HelveticaNeueLT Std"/>
                <w:sz w:val="18"/>
                <w:szCs w:val="18"/>
              </w:rPr>
            </w:pPr>
            <w:r w:rsidRPr="007B27E4">
              <w:rPr>
                <w:rFonts w:cs="HelveticaNeueLT Std"/>
                <w:sz w:val="18"/>
                <w:szCs w:val="18"/>
              </w:rPr>
              <w:t xml:space="preserve">The full year result exceeded the 95% target. The annual number of service requests continues to increase (a 13% increase in the number of requests received in 2024/25 compared to the year prior). </w:t>
            </w:r>
            <w:proofErr w:type="gramStart"/>
            <w:r w:rsidRPr="007B27E4">
              <w:rPr>
                <w:rFonts w:cs="HelveticaNeueLT Std"/>
                <w:sz w:val="18"/>
                <w:szCs w:val="18"/>
              </w:rPr>
              <w:t>The majority of</w:t>
            </w:r>
            <w:proofErr w:type="gramEnd"/>
            <w:r w:rsidRPr="007B27E4">
              <w:rPr>
                <w:rFonts w:cs="HelveticaNeueLT Std"/>
                <w:sz w:val="18"/>
                <w:szCs w:val="18"/>
              </w:rPr>
              <w:t xml:space="preserve"> requests related to trees, gardens, parks and reserves, cleaning and grass.</w:t>
            </w:r>
          </w:p>
        </w:tc>
      </w:tr>
      <w:tr w:rsidR="00951D54" w:rsidRPr="00E641B6" w14:paraId="2E35A7B1" w14:textId="77777777" w:rsidTr="00BB1017">
        <w:trPr>
          <w:cantSplit/>
          <w:trHeight w:val="15"/>
        </w:trPr>
        <w:tc>
          <w:tcPr>
            <w:tcW w:w="1838" w:type="dxa"/>
            <w:shd w:val="clear" w:color="auto" w:fill="FFFFFF" w:themeFill="background1"/>
          </w:tcPr>
          <w:p w14:paraId="1DFE2E78" w14:textId="11BE0C42" w:rsidR="00951D54" w:rsidRPr="007B27E4" w:rsidRDefault="00951D54" w:rsidP="00951D54">
            <w:pPr>
              <w:rPr>
                <w:sz w:val="18"/>
                <w:szCs w:val="18"/>
              </w:rPr>
            </w:pPr>
            <w:r w:rsidRPr="007B27E4">
              <w:rPr>
                <w:sz w:val="18"/>
                <w:szCs w:val="18"/>
              </w:rPr>
              <w:lastRenderedPageBreak/>
              <w:t>Percentage of users who are satisfied with the range of community facilities offered across the Queenstown Lakes district.</w:t>
            </w:r>
          </w:p>
        </w:tc>
        <w:tc>
          <w:tcPr>
            <w:tcW w:w="1361" w:type="dxa"/>
            <w:shd w:val="clear" w:color="auto" w:fill="FFFFFF" w:themeFill="background1"/>
          </w:tcPr>
          <w:p w14:paraId="3B497734" w14:textId="42E8F6F9" w:rsidR="00951D54" w:rsidRPr="007B27E4" w:rsidRDefault="00951D54" w:rsidP="00951D54">
            <w:pPr>
              <w:rPr>
                <w:sz w:val="18"/>
                <w:szCs w:val="18"/>
              </w:rPr>
            </w:pPr>
            <w:r w:rsidRPr="007B27E4">
              <w:rPr>
                <w:sz w:val="18"/>
                <w:szCs w:val="18"/>
              </w:rPr>
              <w:t>75%</w:t>
            </w:r>
          </w:p>
        </w:tc>
        <w:tc>
          <w:tcPr>
            <w:tcW w:w="1361" w:type="dxa"/>
            <w:shd w:val="clear" w:color="auto" w:fill="FFFFFF" w:themeFill="background1"/>
          </w:tcPr>
          <w:p w14:paraId="0C6ED5EB" w14:textId="7E5794BB" w:rsidR="00951D54" w:rsidRPr="007B27E4" w:rsidRDefault="00951D54" w:rsidP="00951D54">
            <w:pPr>
              <w:rPr>
                <w:sz w:val="18"/>
                <w:szCs w:val="18"/>
              </w:rPr>
            </w:pPr>
            <w:r w:rsidRPr="007B27E4">
              <w:rPr>
                <w:sz w:val="18"/>
                <w:szCs w:val="18"/>
              </w:rPr>
              <w:t>&gt;65%</w:t>
            </w:r>
          </w:p>
        </w:tc>
        <w:tc>
          <w:tcPr>
            <w:tcW w:w="1361" w:type="dxa"/>
            <w:shd w:val="clear" w:color="auto" w:fill="FFFFFF" w:themeFill="background1"/>
          </w:tcPr>
          <w:p w14:paraId="13114B8D" w14:textId="00F1C7D1" w:rsidR="00951D54" w:rsidRPr="007B27E4" w:rsidRDefault="00951D54" w:rsidP="00951D54">
            <w:pPr>
              <w:rPr>
                <w:sz w:val="18"/>
                <w:szCs w:val="18"/>
              </w:rPr>
            </w:pPr>
            <w:r w:rsidRPr="007B27E4">
              <w:rPr>
                <w:sz w:val="18"/>
                <w:szCs w:val="18"/>
              </w:rPr>
              <w:t>76%</w:t>
            </w:r>
          </w:p>
        </w:tc>
        <w:tc>
          <w:tcPr>
            <w:tcW w:w="3651" w:type="dxa"/>
            <w:shd w:val="clear" w:color="auto" w:fill="FFFFFF" w:themeFill="background1"/>
          </w:tcPr>
          <w:p w14:paraId="0A83509B" w14:textId="77777777" w:rsidR="00BB1017" w:rsidRPr="007B27E4" w:rsidRDefault="00BB1017" w:rsidP="00BB1017">
            <w:pPr>
              <w:rPr>
                <w:rFonts w:cs="HelveticaNeueLT Std"/>
                <w:b/>
                <w:bCs/>
                <w:sz w:val="18"/>
                <w:szCs w:val="18"/>
              </w:rPr>
            </w:pPr>
            <w:r w:rsidRPr="007B27E4">
              <w:rPr>
                <w:rFonts w:cs="HelveticaNeueLT Std"/>
                <w:b/>
                <w:bCs/>
                <w:sz w:val="18"/>
                <w:szCs w:val="18"/>
              </w:rPr>
              <w:t>Target achieved.</w:t>
            </w:r>
          </w:p>
          <w:p w14:paraId="198C1606" w14:textId="2A333BA1" w:rsidR="00951D54" w:rsidRPr="007B27E4" w:rsidRDefault="00BB1017" w:rsidP="00951D54">
            <w:pPr>
              <w:rPr>
                <w:rFonts w:cs="HelveticaNeueLT Std"/>
                <w:sz w:val="18"/>
                <w:szCs w:val="18"/>
              </w:rPr>
            </w:pPr>
            <w:r w:rsidRPr="007B27E4">
              <w:rPr>
                <w:rFonts w:cs="HelveticaNeueLT Std"/>
                <w:sz w:val="18"/>
                <w:szCs w:val="18"/>
              </w:rPr>
              <w:t>76% of residents were satisfied with the range of community facilities. This result was marginally above the prior year and exceeded the target amount. Libraries; trails, walkways, and cycleways; and parks reserves and gardens had the highest level of satisfaction amongst users of individual facilities, while facilities with the lowest levels of satisfaction included those that were least used such as museums and community halls.</w:t>
            </w:r>
          </w:p>
        </w:tc>
      </w:tr>
    </w:tbl>
    <w:p w14:paraId="2F8583B8" w14:textId="77777777" w:rsidR="00566819" w:rsidRDefault="00566819">
      <w:pPr>
        <w:rPr>
          <w:rFonts w:asciiTheme="majorHAnsi" w:eastAsiaTheme="majorEastAsia" w:hAnsiTheme="majorHAnsi" w:cstheme="majorBidi"/>
          <w:color w:val="0F4761" w:themeColor="accent1" w:themeShade="BF"/>
          <w:sz w:val="32"/>
          <w:szCs w:val="32"/>
          <w:lang w:val="en-GB"/>
        </w:rPr>
      </w:pPr>
      <w:r w:rsidRPr="00E641B6">
        <w:rPr>
          <w:sz w:val="24"/>
          <w:lang w:val="en-GB"/>
        </w:rPr>
        <w:br w:type="page"/>
      </w:r>
    </w:p>
    <w:p w14:paraId="0DA081DB" w14:textId="22FBC371" w:rsidR="007B27E4" w:rsidRDefault="007B27E4" w:rsidP="007B27E4">
      <w:pPr>
        <w:pStyle w:val="Heading2"/>
        <w:rPr>
          <w:lang w:val="en-GB"/>
        </w:rPr>
      </w:pPr>
      <w:bookmarkStart w:id="31" w:name="_Toc211422643"/>
      <w:r w:rsidRPr="007B27E4">
        <w:rPr>
          <w:lang w:val="en-GB"/>
        </w:rPr>
        <w:lastRenderedPageBreak/>
        <w:t xml:space="preserve">Environmental management </w:t>
      </w:r>
      <w:r>
        <w:rPr>
          <w:lang w:val="en-GB"/>
        </w:rPr>
        <w:t xml:space="preserve">| </w:t>
      </w:r>
      <w:proofErr w:type="spellStart"/>
      <w:r w:rsidRPr="007B27E4">
        <w:rPr>
          <w:lang w:val="en-GB"/>
        </w:rPr>
        <w:t>Whakahaeretaka</w:t>
      </w:r>
      <w:proofErr w:type="spellEnd"/>
      <w:r w:rsidRPr="007B27E4">
        <w:rPr>
          <w:lang w:val="en-GB"/>
        </w:rPr>
        <w:t xml:space="preserve"> ā-</w:t>
      </w:r>
      <w:proofErr w:type="spellStart"/>
      <w:r w:rsidRPr="007B27E4">
        <w:rPr>
          <w:lang w:val="en-GB"/>
        </w:rPr>
        <w:t>taiao</w:t>
      </w:r>
      <w:bookmarkEnd w:id="31"/>
      <w:proofErr w:type="spellEnd"/>
    </w:p>
    <w:p w14:paraId="201B143B" w14:textId="334232B8" w:rsidR="007B27E4" w:rsidRPr="007B27E4" w:rsidRDefault="007B27E4" w:rsidP="007B27E4">
      <w:pPr>
        <w:pStyle w:val="Heading3"/>
      </w:pPr>
      <w:bookmarkStart w:id="32" w:name="_Toc211422644"/>
      <w:r w:rsidRPr="007B27E4">
        <w:t>How we performed</w:t>
      </w:r>
      <w:bookmarkEnd w:id="32"/>
    </w:p>
    <w:p w14:paraId="49E3F054" w14:textId="77777777" w:rsidR="007B27E4" w:rsidRPr="00E641B6" w:rsidRDefault="007B27E4" w:rsidP="007B27E4">
      <w:pPr>
        <w:rPr>
          <w:sz w:val="24"/>
          <w:lang w:val="en-GB"/>
        </w:rPr>
      </w:pPr>
      <w:r w:rsidRPr="00E641B6">
        <w:rPr>
          <w:sz w:val="24"/>
          <w:lang w:val="en-GB"/>
        </w:rPr>
        <w:t>How QLDC performed against its Key Performance Indicators (KPIs).</w:t>
      </w:r>
    </w:p>
    <w:tbl>
      <w:tblPr>
        <w:tblStyle w:val="TableGrid"/>
        <w:tblW w:w="9572" w:type="dxa"/>
        <w:tblLayout w:type="fixed"/>
        <w:tblCellMar>
          <w:top w:w="115" w:type="dxa"/>
          <w:bottom w:w="115" w:type="dxa"/>
        </w:tblCellMar>
        <w:tblLook w:val="04A0" w:firstRow="1" w:lastRow="0" w:firstColumn="1" w:lastColumn="0" w:noHBand="0" w:noVBand="1"/>
      </w:tblPr>
      <w:tblGrid>
        <w:gridCol w:w="1838"/>
        <w:gridCol w:w="1361"/>
        <w:gridCol w:w="1361"/>
        <w:gridCol w:w="1361"/>
        <w:gridCol w:w="3651"/>
      </w:tblGrid>
      <w:tr w:rsidR="007B27E4" w:rsidRPr="00E641B6" w14:paraId="146631C3" w14:textId="77777777" w:rsidTr="00B738E2">
        <w:trPr>
          <w:cantSplit/>
        </w:trPr>
        <w:tc>
          <w:tcPr>
            <w:tcW w:w="1838" w:type="dxa"/>
            <w:shd w:val="clear" w:color="auto" w:fill="BFBFBF" w:themeFill="background1" w:themeFillShade="BF"/>
          </w:tcPr>
          <w:p w14:paraId="488798A3" w14:textId="77777777" w:rsidR="007B27E4" w:rsidRPr="007B27E4" w:rsidRDefault="007B27E4" w:rsidP="00B738E2">
            <w:pPr>
              <w:rPr>
                <w:b/>
                <w:bCs/>
                <w:sz w:val="18"/>
                <w:szCs w:val="18"/>
                <w:lang w:val="en-US"/>
              </w:rPr>
            </w:pPr>
            <w:r w:rsidRPr="007B27E4">
              <w:rPr>
                <w:sz w:val="18"/>
                <w:szCs w:val="18"/>
              </w:rPr>
              <w:t>KPIs</w:t>
            </w:r>
          </w:p>
        </w:tc>
        <w:tc>
          <w:tcPr>
            <w:tcW w:w="1361" w:type="dxa"/>
            <w:shd w:val="clear" w:color="auto" w:fill="BFBFBF" w:themeFill="background1" w:themeFillShade="BF"/>
          </w:tcPr>
          <w:p w14:paraId="14F7820E" w14:textId="77777777" w:rsidR="007B27E4" w:rsidRPr="007B27E4" w:rsidRDefault="007B27E4" w:rsidP="00B738E2">
            <w:pPr>
              <w:rPr>
                <w:b/>
                <w:bCs/>
                <w:sz w:val="18"/>
                <w:szCs w:val="18"/>
                <w:lang w:val="en-US"/>
              </w:rPr>
            </w:pPr>
            <w:r w:rsidRPr="007B27E4">
              <w:rPr>
                <w:sz w:val="18"/>
                <w:szCs w:val="18"/>
              </w:rPr>
              <w:t xml:space="preserve">Baseline Performance </w:t>
            </w:r>
            <w:proofErr w:type="gramStart"/>
            <w:r w:rsidRPr="007B27E4">
              <w:rPr>
                <w:sz w:val="18"/>
                <w:szCs w:val="18"/>
              </w:rPr>
              <w:t>at</w:t>
            </w:r>
            <w:proofErr w:type="gramEnd"/>
            <w:r w:rsidRPr="007B27E4">
              <w:rPr>
                <w:sz w:val="18"/>
                <w:szCs w:val="18"/>
              </w:rPr>
              <w:t xml:space="preserve"> 30 June 2024</w:t>
            </w:r>
          </w:p>
        </w:tc>
        <w:tc>
          <w:tcPr>
            <w:tcW w:w="1361" w:type="dxa"/>
            <w:shd w:val="clear" w:color="auto" w:fill="BFBFBF" w:themeFill="background1" w:themeFillShade="BF"/>
          </w:tcPr>
          <w:p w14:paraId="76450895" w14:textId="77777777" w:rsidR="007B27E4" w:rsidRPr="007B27E4" w:rsidRDefault="007B27E4" w:rsidP="00B738E2">
            <w:pPr>
              <w:rPr>
                <w:b/>
                <w:bCs/>
                <w:sz w:val="18"/>
                <w:szCs w:val="18"/>
                <w:lang w:val="en-US"/>
              </w:rPr>
            </w:pPr>
            <w:r w:rsidRPr="007B27E4">
              <w:rPr>
                <w:sz w:val="18"/>
                <w:szCs w:val="18"/>
              </w:rPr>
              <w:t>Target for Year 1 of LTP 24-34</w:t>
            </w:r>
          </w:p>
        </w:tc>
        <w:tc>
          <w:tcPr>
            <w:tcW w:w="1361" w:type="dxa"/>
            <w:shd w:val="clear" w:color="auto" w:fill="BFBFBF" w:themeFill="background1" w:themeFillShade="BF"/>
          </w:tcPr>
          <w:p w14:paraId="5167307E" w14:textId="77777777" w:rsidR="007B27E4" w:rsidRPr="007B27E4" w:rsidRDefault="007B27E4" w:rsidP="00B738E2">
            <w:pPr>
              <w:rPr>
                <w:b/>
                <w:bCs/>
                <w:sz w:val="18"/>
                <w:szCs w:val="18"/>
                <w:lang w:val="en-US"/>
              </w:rPr>
            </w:pPr>
            <w:r w:rsidRPr="007B27E4">
              <w:rPr>
                <w:sz w:val="18"/>
                <w:szCs w:val="18"/>
              </w:rPr>
              <w:t>Annual Result 2024-2025</w:t>
            </w:r>
          </w:p>
        </w:tc>
        <w:tc>
          <w:tcPr>
            <w:tcW w:w="3651" w:type="dxa"/>
            <w:shd w:val="clear" w:color="auto" w:fill="BFBFBF" w:themeFill="background1" w:themeFillShade="BF"/>
          </w:tcPr>
          <w:p w14:paraId="7EBC2F0E" w14:textId="77777777" w:rsidR="007B27E4" w:rsidRPr="007B27E4" w:rsidRDefault="007B27E4" w:rsidP="00B738E2">
            <w:pPr>
              <w:rPr>
                <w:b/>
                <w:bCs/>
                <w:sz w:val="18"/>
                <w:szCs w:val="18"/>
                <w:lang w:val="en-US"/>
              </w:rPr>
            </w:pPr>
            <w:r w:rsidRPr="007B27E4">
              <w:rPr>
                <w:sz w:val="18"/>
                <w:szCs w:val="18"/>
              </w:rPr>
              <w:t>Commentary</w:t>
            </w:r>
          </w:p>
        </w:tc>
      </w:tr>
      <w:tr w:rsidR="007B27E4" w:rsidRPr="00E641B6" w14:paraId="20A93384" w14:textId="77777777" w:rsidTr="00B738E2">
        <w:trPr>
          <w:cantSplit/>
          <w:trHeight w:val="15"/>
        </w:trPr>
        <w:tc>
          <w:tcPr>
            <w:tcW w:w="1838" w:type="dxa"/>
            <w:shd w:val="clear" w:color="auto" w:fill="FFFFFF" w:themeFill="background1"/>
          </w:tcPr>
          <w:p w14:paraId="2F8FBB1D" w14:textId="7FAF6B7D" w:rsidR="007B27E4" w:rsidRPr="007B27E4" w:rsidRDefault="007B27E4" w:rsidP="007B27E4">
            <w:pPr>
              <w:rPr>
                <w:rFonts w:cs="HelveticaNeueLT Std"/>
                <w:sz w:val="18"/>
                <w:szCs w:val="18"/>
              </w:rPr>
            </w:pPr>
            <w:r w:rsidRPr="007B27E4">
              <w:rPr>
                <w:sz w:val="18"/>
                <w:szCs w:val="18"/>
              </w:rPr>
              <w:t>Percentage of QLDC actions delivered to target as per the Implementation Plan of the Spatial Plan.</w:t>
            </w:r>
          </w:p>
        </w:tc>
        <w:tc>
          <w:tcPr>
            <w:tcW w:w="1361" w:type="dxa"/>
            <w:shd w:val="clear" w:color="auto" w:fill="FFFFFF" w:themeFill="background1"/>
          </w:tcPr>
          <w:p w14:paraId="380A26FF" w14:textId="426C7343" w:rsidR="007B27E4" w:rsidRPr="007B27E4" w:rsidRDefault="007B27E4" w:rsidP="007B27E4">
            <w:pPr>
              <w:rPr>
                <w:rFonts w:cs="HelveticaNeueLT Std"/>
                <w:sz w:val="18"/>
                <w:szCs w:val="18"/>
              </w:rPr>
            </w:pPr>
            <w:r w:rsidRPr="007B27E4">
              <w:rPr>
                <w:sz w:val="18"/>
                <w:szCs w:val="18"/>
              </w:rPr>
              <w:t>New Measure</w:t>
            </w:r>
          </w:p>
        </w:tc>
        <w:tc>
          <w:tcPr>
            <w:tcW w:w="1361" w:type="dxa"/>
            <w:shd w:val="clear" w:color="auto" w:fill="FFFFFF" w:themeFill="background1"/>
          </w:tcPr>
          <w:p w14:paraId="7886C7D8" w14:textId="5F355F44" w:rsidR="007B27E4" w:rsidRPr="007B27E4" w:rsidRDefault="007B27E4" w:rsidP="007B27E4">
            <w:pPr>
              <w:rPr>
                <w:rFonts w:cs="HelveticaNeueLT Std"/>
                <w:sz w:val="18"/>
                <w:szCs w:val="18"/>
              </w:rPr>
            </w:pPr>
            <w:r w:rsidRPr="007B27E4">
              <w:rPr>
                <w:sz w:val="18"/>
                <w:szCs w:val="18"/>
              </w:rPr>
              <w:t>≥90%</w:t>
            </w:r>
          </w:p>
        </w:tc>
        <w:tc>
          <w:tcPr>
            <w:tcW w:w="1361" w:type="dxa"/>
            <w:shd w:val="clear" w:color="auto" w:fill="FFFFFF" w:themeFill="background1"/>
          </w:tcPr>
          <w:p w14:paraId="65ADA70C" w14:textId="6A96162B" w:rsidR="007B27E4" w:rsidRPr="007B27E4" w:rsidRDefault="007B27E4" w:rsidP="007B27E4">
            <w:pPr>
              <w:rPr>
                <w:rFonts w:cs="HelveticaNeueLT Std"/>
                <w:sz w:val="18"/>
                <w:szCs w:val="18"/>
              </w:rPr>
            </w:pPr>
            <w:r w:rsidRPr="007B27E4">
              <w:rPr>
                <w:sz w:val="18"/>
                <w:szCs w:val="18"/>
              </w:rPr>
              <w:t>92% achieved</w:t>
            </w:r>
          </w:p>
        </w:tc>
        <w:tc>
          <w:tcPr>
            <w:tcW w:w="3651" w:type="dxa"/>
            <w:shd w:val="clear" w:color="auto" w:fill="FFFFFF" w:themeFill="background1"/>
          </w:tcPr>
          <w:p w14:paraId="51EE61AF" w14:textId="77777777" w:rsidR="007B27E4" w:rsidRPr="007B27E4" w:rsidRDefault="007B27E4" w:rsidP="007B27E4">
            <w:pPr>
              <w:rPr>
                <w:rFonts w:cs="HelveticaNeueLT Std"/>
                <w:b/>
                <w:bCs/>
                <w:sz w:val="18"/>
                <w:szCs w:val="18"/>
              </w:rPr>
            </w:pPr>
            <w:r w:rsidRPr="007B27E4">
              <w:rPr>
                <w:rFonts w:cs="HelveticaNeueLT Std"/>
                <w:b/>
                <w:bCs/>
                <w:sz w:val="18"/>
                <w:szCs w:val="18"/>
              </w:rPr>
              <w:t>Target achieved.</w:t>
            </w:r>
          </w:p>
          <w:p w14:paraId="45E29634" w14:textId="6ACD4A36" w:rsidR="007B27E4" w:rsidRPr="007B27E4" w:rsidRDefault="007B27E4" w:rsidP="007B27E4">
            <w:pPr>
              <w:rPr>
                <w:rFonts w:cs="HelveticaNeueLT Std"/>
                <w:sz w:val="18"/>
                <w:szCs w:val="18"/>
              </w:rPr>
            </w:pPr>
            <w:r w:rsidRPr="007B27E4">
              <w:rPr>
                <w:rFonts w:cs="HelveticaNeueLT Std"/>
                <w:sz w:val="18"/>
                <w:szCs w:val="18"/>
              </w:rPr>
              <w:t xml:space="preserve">The Spatial Plan identified 22 priority initiatives which are to be delivered as part of the Grow Well </w:t>
            </w:r>
            <w:proofErr w:type="spellStart"/>
            <w:r w:rsidRPr="007B27E4">
              <w:rPr>
                <w:rFonts w:cs="HelveticaNeueLT Std"/>
                <w:sz w:val="18"/>
                <w:szCs w:val="18"/>
              </w:rPr>
              <w:t>Whaiora</w:t>
            </w:r>
            <w:proofErr w:type="spellEnd"/>
            <w:r w:rsidRPr="007B27E4">
              <w:rPr>
                <w:rFonts w:cs="HelveticaNeueLT Std"/>
                <w:sz w:val="18"/>
                <w:szCs w:val="18"/>
              </w:rPr>
              <w:t xml:space="preserve"> partnership, of which 12 are QLDC lead. The status of these initiatives is tracked in the quarterly monitoring report using QLDC RAG Status (Red, Amber, Green). Of the 12 QLDC led ones, 11 are currently at Green (meeting target).</w:t>
            </w:r>
          </w:p>
        </w:tc>
      </w:tr>
      <w:tr w:rsidR="007B27E4" w:rsidRPr="00E641B6" w14:paraId="37BF0A86" w14:textId="77777777" w:rsidTr="00B738E2">
        <w:trPr>
          <w:cantSplit/>
          <w:trHeight w:val="15"/>
        </w:trPr>
        <w:tc>
          <w:tcPr>
            <w:tcW w:w="1838" w:type="dxa"/>
            <w:shd w:val="clear" w:color="auto" w:fill="FFFFFF" w:themeFill="background1"/>
          </w:tcPr>
          <w:p w14:paraId="162A14A4" w14:textId="751063D4" w:rsidR="007B27E4" w:rsidRPr="007B27E4" w:rsidRDefault="007B27E4" w:rsidP="007B27E4">
            <w:pPr>
              <w:rPr>
                <w:sz w:val="18"/>
                <w:szCs w:val="18"/>
              </w:rPr>
            </w:pPr>
            <w:r w:rsidRPr="007B27E4">
              <w:rPr>
                <w:sz w:val="18"/>
                <w:szCs w:val="18"/>
              </w:rPr>
              <w:t>Compliance with the two-year timeframe of plan change notification to decision, in accordance with clause 10 of Section 1 of the RMA</w:t>
            </w:r>
            <w:r w:rsidR="00C72995">
              <w:rPr>
                <w:sz w:val="18"/>
                <w:szCs w:val="18"/>
              </w:rPr>
              <w:t>.</w:t>
            </w:r>
            <w:r w:rsidR="00C72995">
              <w:rPr>
                <w:rStyle w:val="FootnoteReference"/>
                <w:sz w:val="18"/>
                <w:szCs w:val="18"/>
              </w:rPr>
              <w:footnoteReference w:id="55"/>
            </w:r>
          </w:p>
        </w:tc>
        <w:tc>
          <w:tcPr>
            <w:tcW w:w="1361" w:type="dxa"/>
            <w:shd w:val="clear" w:color="auto" w:fill="FFFFFF" w:themeFill="background1"/>
          </w:tcPr>
          <w:p w14:paraId="67668834" w14:textId="7DEFEC07" w:rsidR="007B27E4" w:rsidRPr="007B27E4" w:rsidRDefault="007B27E4" w:rsidP="007B27E4">
            <w:pPr>
              <w:rPr>
                <w:sz w:val="18"/>
                <w:szCs w:val="18"/>
              </w:rPr>
            </w:pPr>
            <w:r w:rsidRPr="007B27E4">
              <w:rPr>
                <w:sz w:val="18"/>
                <w:szCs w:val="18"/>
              </w:rPr>
              <w:t>Full Compliance</w:t>
            </w:r>
          </w:p>
        </w:tc>
        <w:tc>
          <w:tcPr>
            <w:tcW w:w="1361" w:type="dxa"/>
            <w:shd w:val="clear" w:color="auto" w:fill="FFFFFF" w:themeFill="background1"/>
          </w:tcPr>
          <w:p w14:paraId="63842EAC" w14:textId="19B6CF96" w:rsidR="007B27E4" w:rsidRPr="007B27E4" w:rsidRDefault="007B27E4" w:rsidP="007B27E4">
            <w:pPr>
              <w:rPr>
                <w:sz w:val="18"/>
                <w:szCs w:val="18"/>
              </w:rPr>
            </w:pPr>
            <w:r w:rsidRPr="007B27E4">
              <w:rPr>
                <w:sz w:val="18"/>
                <w:szCs w:val="18"/>
              </w:rPr>
              <w:t>Full Compliance</w:t>
            </w:r>
          </w:p>
        </w:tc>
        <w:tc>
          <w:tcPr>
            <w:tcW w:w="1361" w:type="dxa"/>
            <w:shd w:val="clear" w:color="auto" w:fill="FFFFFF" w:themeFill="background1"/>
          </w:tcPr>
          <w:p w14:paraId="60FF5905" w14:textId="47A6DFE7" w:rsidR="007B27E4" w:rsidRPr="007B27E4" w:rsidRDefault="007B27E4" w:rsidP="007B27E4">
            <w:pPr>
              <w:rPr>
                <w:sz w:val="18"/>
                <w:szCs w:val="18"/>
              </w:rPr>
            </w:pPr>
            <w:r w:rsidRPr="007B27E4">
              <w:rPr>
                <w:sz w:val="18"/>
                <w:szCs w:val="18"/>
              </w:rPr>
              <w:t>Not achieved</w:t>
            </w:r>
          </w:p>
        </w:tc>
        <w:tc>
          <w:tcPr>
            <w:tcW w:w="3651" w:type="dxa"/>
            <w:shd w:val="clear" w:color="auto" w:fill="FFFFFF" w:themeFill="background1"/>
          </w:tcPr>
          <w:p w14:paraId="3F06FB2B" w14:textId="77777777" w:rsidR="007B27E4" w:rsidRPr="007B27E4" w:rsidRDefault="007B27E4" w:rsidP="007B27E4">
            <w:pPr>
              <w:rPr>
                <w:rFonts w:cs="HelveticaNeueLT Std"/>
                <w:b/>
                <w:bCs/>
                <w:sz w:val="18"/>
                <w:szCs w:val="18"/>
              </w:rPr>
            </w:pPr>
            <w:r w:rsidRPr="007B27E4">
              <w:rPr>
                <w:rFonts w:cs="HelveticaNeueLT Std"/>
                <w:b/>
                <w:bCs/>
                <w:sz w:val="18"/>
                <w:szCs w:val="18"/>
              </w:rPr>
              <w:t>Target not achieved.</w:t>
            </w:r>
          </w:p>
          <w:p w14:paraId="0A0A50A1" w14:textId="04240BDA" w:rsidR="003B2F8D" w:rsidRPr="003B2F8D" w:rsidRDefault="003B2F8D" w:rsidP="003B2F8D">
            <w:pPr>
              <w:rPr>
                <w:rFonts w:cs="HelveticaNeueLT Std"/>
                <w:sz w:val="18"/>
                <w:szCs w:val="18"/>
              </w:rPr>
            </w:pPr>
            <w:r w:rsidRPr="003B2F8D">
              <w:rPr>
                <w:rFonts w:cs="HelveticaNeueLT Std"/>
                <w:sz w:val="18"/>
                <w:szCs w:val="18"/>
              </w:rPr>
              <w:t xml:space="preserve">The Urban Intensification Variation did not meet the </w:t>
            </w:r>
            <w:proofErr w:type="gramStart"/>
            <w:r w:rsidRPr="003B2F8D">
              <w:rPr>
                <w:rFonts w:cs="HelveticaNeueLT Std"/>
                <w:sz w:val="18"/>
                <w:szCs w:val="18"/>
              </w:rPr>
              <w:t>2 year</w:t>
            </w:r>
            <w:proofErr w:type="gramEnd"/>
            <w:r w:rsidRPr="003B2F8D">
              <w:rPr>
                <w:rFonts w:cs="HelveticaNeueLT Std"/>
                <w:sz w:val="18"/>
                <w:szCs w:val="18"/>
              </w:rPr>
              <w:t xml:space="preserve"> timeframe for the following reasons:</w:t>
            </w:r>
          </w:p>
          <w:p w14:paraId="48C3D9C6" w14:textId="0EA74A0B" w:rsidR="003B2F8D" w:rsidRPr="003B2F8D" w:rsidRDefault="003B2F8D" w:rsidP="003B2F8D">
            <w:pPr>
              <w:pStyle w:val="ListParagraph"/>
              <w:numPr>
                <w:ilvl w:val="0"/>
                <w:numId w:val="23"/>
              </w:numPr>
              <w:rPr>
                <w:rFonts w:cs="HelveticaNeueLT Std"/>
                <w:sz w:val="18"/>
                <w:szCs w:val="18"/>
              </w:rPr>
            </w:pPr>
            <w:r w:rsidRPr="003B2F8D">
              <w:rPr>
                <w:rFonts w:cs="HelveticaNeueLT Std"/>
                <w:sz w:val="18"/>
                <w:szCs w:val="18"/>
              </w:rPr>
              <w:t>High volume and complexity of submissions.</w:t>
            </w:r>
          </w:p>
          <w:p w14:paraId="1C865DFE" w14:textId="4C0485EB" w:rsidR="003B2F8D" w:rsidRPr="003B2F8D" w:rsidRDefault="003B2F8D" w:rsidP="003B2F8D">
            <w:pPr>
              <w:pStyle w:val="ListParagraph"/>
              <w:numPr>
                <w:ilvl w:val="0"/>
                <w:numId w:val="23"/>
              </w:numPr>
              <w:rPr>
                <w:rFonts w:cs="HelveticaNeueLT Std"/>
                <w:sz w:val="18"/>
                <w:szCs w:val="18"/>
              </w:rPr>
            </w:pPr>
            <w:r w:rsidRPr="003B2F8D">
              <w:rPr>
                <w:rFonts w:cs="HelveticaNeueLT Std"/>
                <w:sz w:val="18"/>
                <w:szCs w:val="18"/>
              </w:rPr>
              <w:t>Initial delays while considering whether to await the new Housing Business Capacity Assessment.</w:t>
            </w:r>
          </w:p>
          <w:p w14:paraId="09DE7F1C" w14:textId="5F9D79FA" w:rsidR="007B27E4" w:rsidRPr="003B2F8D" w:rsidRDefault="003B2F8D" w:rsidP="003B2F8D">
            <w:pPr>
              <w:pStyle w:val="ListParagraph"/>
              <w:numPr>
                <w:ilvl w:val="0"/>
                <w:numId w:val="23"/>
              </w:numPr>
              <w:rPr>
                <w:rFonts w:cs="HelveticaNeueLT Std"/>
                <w:sz w:val="18"/>
                <w:szCs w:val="18"/>
              </w:rPr>
            </w:pPr>
            <w:r w:rsidRPr="003B2F8D">
              <w:rPr>
                <w:rFonts w:cs="HelveticaNeueLT Std"/>
                <w:sz w:val="18"/>
                <w:szCs w:val="18"/>
              </w:rPr>
              <w:t>Separate economic modelling was commissioned instead, which added time.</w:t>
            </w:r>
          </w:p>
        </w:tc>
      </w:tr>
      <w:tr w:rsidR="007B27E4" w:rsidRPr="00E641B6" w14:paraId="1DCF001A" w14:textId="77777777" w:rsidTr="00B738E2">
        <w:trPr>
          <w:cantSplit/>
          <w:trHeight w:val="15"/>
        </w:trPr>
        <w:tc>
          <w:tcPr>
            <w:tcW w:w="1838" w:type="dxa"/>
            <w:shd w:val="clear" w:color="auto" w:fill="FFFFFF" w:themeFill="background1"/>
          </w:tcPr>
          <w:p w14:paraId="370376BF" w14:textId="5F2CD9F4" w:rsidR="007B27E4" w:rsidRPr="007B27E4" w:rsidRDefault="007B27E4" w:rsidP="007B27E4">
            <w:pPr>
              <w:rPr>
                <w:sz w:val="18"/>
                <w:szCs w:val="18"/>
              </w:rPr>
            </w:pPr>
            <w:r w:rsidRPr="007B27E4">
              <w:rPr>
                <w:sz w:val="18"/>
                <w:szCs w:val="18"/>
              </w:rPr>
              <w:t>Percentage of resource consents processed within statutory timeframes.</w:t>
            </w:r>
          </w:p>
        </w:tc>
        <w:tc>
          <w:tcPr>
            <w:tcW w:w="1361" w:type="dxa"/>
            <w:shd w:val="clear" w:color="auto" w:fill="FFFFFF" w:themeFill="background1"/>
          </w:tcPr>
          <w:p w14:paraId="1AEF3C7B" w14:textId="12817D98" w:rsidR="007B27E4" w:rsidRPr="007B27E4" w:rsidRDefault="007B27E4" w:rsidP="007B27E4">
            <w:pPr>
              <w:rPr>
                <w:sz w:val="18"/>
                <w:szCs w:val="18"/>
              </w:rPr>
            </w:pPr>
            <w:r w:rsidRPr="007B27E4">
              <w:rPr>
                <w:sz w:val="18"/>
                <w:szCs w:val="18"/>
              </w:rPr>
              <w:t>94.67%</w:t>
            </w:r>
          </w:p>
        </w:tc>
        <w:tc>
          <w:tcPr>
            <w:tcW w:w="1361" w:type="dxa"/>
            <w:shd w:val="clear" w:color="auto" w:fill="FFFFFF" w:themeFill="background1"/>
          </w:tcPr>
          <w:p w14:paraId="66EFEBE9" w14:textId="22AD0C36" w:rsidR="007B27E4" w:rsidRPr="007B27E4" w:rsidRDefault="007B27E4" w:rsidP="007B27E4">
            <w:pPr>
              <w:rPr>
                <w:sz w:val="18"/>
                <w:szCs w:val="18"/>
              </w:rPr>
            </w:pPr>
            <w:r w:rsidRPr="007B27E4">
              <w:rPr>
                <w:sz w:val="18"/>
                <w:szCs w:val="18"/>
              </w:rPr>
              <w:t>100%</w:t>
            </w:r>
          </w:p>
        </w:tc>
        <w:tc>
          <w:tcPr>
            <w:tcW w:w="1361" w:type="dxa"/>
            <w:shd w:val="clear" w:color="auto" w:fill="FFFFFF" w:themeFill="background1"/>
          </w:tcPr>
          <w:p w14:paraId="1D3A3073" w14:textId="7C3D5E8E" w:rsidR="007B27E4" w:rsidRPr="007B27E4" w:rsidRDefault="007B27E4" w:rsidP="007B27E4">
            <w:pPr>
              <w:rPr>
                <w:sz w:val="18"/>
                <w:szCs w:val="18"/>
              </w:rPr>
            </w:pPr>
            <w:r w:rsidRPr="007B27E4">
              <w:rPr>
                <w:sz w:val="18"/>
                <w:szCs w:val="18"/>
              </w:rPr>
              <w:t>95%</w:t>
            </w:r>
          </w:p>
        </w:tc>
        <w:tc>
          <w:tcPr>
            <w:tcW w:w="3651" w:type="dxa"/>
            <w:shd w:val="clear" w:color="auto" w:fill="FFFFFF" w:themeFill="background1"/>
          </w:tcPr>
          <w:p w14:paraId="5C616758" w14:textId="77777777" w:rsidR="007B27E4" w:rsidRPr="007B27E4" w:rsidRDefault="007B27E4" w:rsidP="007B27E4">
            <w:pPr>
              <w:rPr>
                <w:rFonts w:cs="HelveticaNeueLT Std"/>
                <w:b/>
                <w:bCs/>
                <w:sz w:val="18"/>
                <w:szCs w:val="18"/>
              </w:rPr>
            </w:pPr>
            <w:r w:rsidRPr="007B27E4">
              <w:rPr>
                <w:rFonts w:cs="HelveticaNeueLT Std"/>
                <w:b/>
                <w:bCs/>
                <w:sz w:val="18"/>
                <w:szCs w:val="18"/>
              </w:rPr>
              <w:t>Target not achieved.</w:t>
            </w:r>
          </w:p>
          <w:p w14:paraId="1FC68452" w14:textId="2C23C334" w:rsidR="007B27E4" w:rsidRPr="007B27E4" w:rsidRDefault="003B2F8D" w:rsidP="007B27E4">
            <w:pPr>
              <w:rPr>
                <w:rFonts w:cs="HelveticaNeueLT Std"/>
                <w:sz w:val="18"/>
                <w:szCs w:val="18"/>
              </w:rPr>
            </w:pPr>
            <w:r w:rsidRPr="003B2F8D">
              <w:rPr>
                <w:rFonts w:cs="HelveticaNeueLT Std"/>
                <w:sz w:val="18"/>
                <w:szCs w:val="18"/>
              </w:rPr>
              <w:t>While the 100% target was not met, 95% of applications being processed within the required timeframes for the year is a great achievement and the highest over the previous 9 years. For every month of the year at least 90% (or higher) of applications were processed within required timeframes.</w:t>
            </w:r>
          </w:p>
        </w:tc>
      </w:tr>
    </w:tbl>
    <w:p w14:paraId="5CC2AB6F" w14:textId="77777777" w:rsidR="00566819" w:rsidRDefault="00566819">
      <w:pPr>
        <w:rPr>
          <w:rFonts w:asciiTheme="majorHAnsi" w:eastAsiaTheme="majorEastAsia" w:hAnsiTheme="majorHAnsi" w:cstheme="majorBidi"/>
          <w:color w:val="0F4761" w:themeColor="accent1" w:themeShade="BF"/>
          <w:sz w:val="32"/>
          <w:szCs w:val="32"/>
          <w:lang w:val="en-GB"/>
        </w:rPr>
      </w:pPr>
      <w:r w:rsidRPr="00E641B6">
        <w:rPr>
          <w:sz w:val="24"/>
          <w:lang w:val="en-GB"/>
        </w:rPr>
        <w:br w:type="page"/>
      </w:r>
    </w:p>
    <w:p w14:paraId="496DFE83" w14:textId="38422643" w:rsidR="00C72995" w:rsidRDefault="00C72995" w:rsidP="00C72995">
      <w:pPr>
        <w:pStyle w:val="Heading2"/>
        <w:rPr>
          <w:lang w:val="en-GB"/>
        </w:rPr>
      </w:pPr>
      <w:bookmarkStart w:id="33" w:name="_Toc211422645"/>
      <w:r w:rsidRPr="00C72995">
        <w:rPr>
          <w:lang w:val="en-GB"/>
        </w:rPr>
        <w:lastRenderedPageBreak/>
        <w:t xml:space="preserve">Water supply </w:t>
      </w:r>
      <w:r>
        <w:rPr>
          <w:lang w:val="en-GB"/>
        </w:rPr>
        <w:t xml:space="preserve">| </w:t>
      </w:r>
      <w:proofErr w:type="spellStart"/>
      <w:r w:rsidRPr="00C72995">
        <w:rPr>
          <w:lang w:val="en-GB"/>
        </w:rPr>
        <w:t>Te</w:t>
      </w:r>
      <w:proofErr w:type="spellEnd"/>
      <w:r w:rsidRPr="00C72995">
        <w:rPr>
          <w:lang w:val="en-GB"/>
        </w:rPr>
        <w:t xml:space="preserve"> </w:t>
      </w:r>
      <w:proofErr w:type="spellStart"/>
      <w:r w:rsidRPr="00C72995">
        <w:rPr>
          <w:lang w:val="en-GB"/>
        </w:rPr>
        <w:t>ranea</w:t>
      </w:r>
      <w:proofErr w:type="spellEnd"/>
      <w:r w:rsidRPr="00C72995">
        <w:rPr>
          <w:lang w:val="en-GB"/>
        </w:rPr>
        <w:t xml:space="preserve"> o </w:t>
      </w:r>
      <w:proofErr w:type="spellStart"/>
      <w:r w:rsidRPr="00C72995">
        <w:rPr>
          <w:lang w:val="en-GB"/>
        </w:rPr>
        <w:t>te</w:t>
      </w:r>
      <w:proofErr w:type="spellEnd"/>
      <w:r w:rsidRPr="00C72995">
        <w:rPr>
          <w:lang w:val="en-GB"/>
        </w:rPr>
        <w:t xml:space="preserve"> </w:t>
      </w:r>
      <w:proofErr w:type="spellStart"/>
      <w:r w:rsidRPr="00C72995">
        <w:rPr>
          <w:lang w:val="en-GB"/>
        </w:rPr>
        <w:t>wai</w:t>
      </w:r>
      <w:bookmarkEnd w:id="33"/>
      <w:proofErr w:type="spellEnd"/>
    </w:p>
    <w:p w14:paraId="0A7BA30C" w14:textId="7AFFFBDB" w:rsidR="00C72995" w:rsidRPr="00C72995" w:rsidRDefault="00C72995" w:rsidP="00C72995">
      <w:pPr>
        <w:pStyle w:val="Heading3"/>
      </w:pPr>
      <w:bookmarkStart w:id="34" w:name="_Toc211422646"/>
      <w:r w:rsidRPr="00C72995">
        <w:t>How we performed</w:t>
      </w:r>
      <w:bookmarkEnd w:id="34"/>
    </w:p>
    <w:p w14:paraId="442AC825" w14:textId="77777777" w:rsidR="00C72995" w:rsidRPr="00E641B6" w:rsidRDefault="00C72995" w:rsidP="00C72995">
      <w:pPr>
        <w:rPr>
          <w:sz w:val="24"/>
          <w:lang w:val="en-GB"/>
        </w:rPr>
      </w:pPr>
      <w:r w:rsidRPr="00E641B6">
        <w:rPr>
          <w:sz w:val="24"/>
          <w:lang w:val="en-GB"/>
        </w:rPr>
        <w:t>How QLDC performed against its Key Performance Indicators (KPIs).</w:t>
      </w:r>
    </w:p>
    <w:tbl>
      <w:tblPr>
        <w:tblStyle w:val="TableGrid"/>
        <w:tblW w:w="9572" w:type="dxa"/>
        <w:tblLayout w:type="fixed"/>
        <w:tblCellMar>
          <w:top w:w="115" w:type="dxa"/>
          <w:bottom w:w="115" w:type="dxa"/>
        </w:tblCellMar>
        <w:tblLook w:val="04A0" w:firstRow="1" w:lastRow="0" w:firstColumn="1" w:lastColumn="0" w:noHBand="0" w:noVBand="1"/>
      </w:tblPr>
      <w:tblGrid>
        <w:gridCol w:w="1838"/>
        <w:gridCol w:w="1361"/>
        <w:gridCol w:w="1361"/>
        <w:gridCol w:w="1361"/>
        <w:gridCol w:w="3651"/>
      </w:tblGrid>
      <w:tr w:rsidR="00C72995" w:rsidRPr="00E641B6" w14:paraId="0BBA90B8" w14:textId="77777777" w:rsidTr="00B738E2">
        <w:trPr>
          <w:cantSplit/>
        </w:trPr>
        <w:tc>
          <w:tcPr>
            <w:tcW w:w="1838" w:type="dxa"/>
            <w:shd w:val="clear" w:color="auto" w:fill="BFBFBF" w:themeFill="background1" w:themeFillShade="BF"/>
          </w:tcPr>
          <w:p w14:paraId="384D038A" w14:textId="1CE4FF93" w:rsidR="00C72995" w:rsidRPr="001C3130" w:rsidRDefault="00C72995" w:rsidP="00B738E2">
            <w:pPr>
              <w:rPr>
                <w:b/>
                <w:bCs/>
                <w:sz w:val="18"/>
                <w:szCs w:val="18"/>
                <w:lang w:val="en-US"/>
              </w:rPr>
            </w:pPr>
            <w:r w:rsidRPr="001C3130">
              <w:rPr>
                <w:sz w:val="18"/>
                <w:szCs w:val="18"/>
              </w:rPr>
              <w:t>KPIs</w:t>
            </w:r>
            <w:r w:rsidRPr="001C3130">
              <w:rPr>
                <w:rStyle w:val="FootnoteReference"/>
                <w:sz w:val="18"/>
                <w:szCs w:val="18"/>
              </w:rPr>
              <w:footnoteReference w:id="56"/>
            </w:r>
          </w:p>
        </w:tc>
        <w:tc>
          <w:tcPr>
            <w:tcW w:w="1361" w:type="dxa"/>
            <w:shd w:val="clear" w:color="auto" w:fill="BFBFBF" w:themeFill="background1" w:themeFillShade="BF"/>
          </w:tcPr>
          <w:p w14:paraId="7D8DA5A3" w14:textId="77777777" w:rsidR="00C72995" w:rsidRPr="001C3130" w:rsidRDefault="00C72995" w:rsidP="00B738E2">
            <w:pPr>
              <w:rPr>
                <w:b/>
                <w:bCs/>
                <w:sz w:val="18"/>
                <w:szCs w:val="18"/>
                <w:lang w:val="en-US"/>
              </w:rPr>
            </w:pPr>
            <w:r w:rsidRPr="001C3130">
              <w:rPr>
                <w:sz w:val="18"/>
                <w:szCs w:val="18"/>
              </w:rPr>
              <w:t xml:space="preserve">Baseline Performance </w:t>
            </w:r>
            <w:proofErr w:type="gramStart"/>
            <w:r w:rsidRPr="001C3130">
              <w:rPr>
                <w:sz w:val="18"/>
                <w:szCs w:val="18"/>
              </w:rPr>
              <w:t>at</w:t>
            </w:r>
            <w:proofErr w:type="gramEnd"/>
            <w:r w:rsidRPr="001C3130">
              <w:rPr>
                <w:sz w:val="18"/>
                <w:szCs w:val="18"/>
              </w:rPr>
              <w:t xml:space="preserve"> 30 June 2024</w:t>
            </w:r>
          </w:p>
        </w:tc>
        <w:tc>
          <w:tcPr>
            <w:tcW w:w="1361" w:type="dxa"/>
            <w:shd w:val="clear" w:color="auto" w:fill="BFBFBF" w:themeFill="background1" w:themeFillShade="BF"/>
          </w:tcPr>
          <w:p w14:paraId="3E185C9F" w14:textId="77777777" w:rsidR="00C72995" w:rsidRPr="001C3130" w:rsidRDefault="00C72995" w:rsidP="00B738E2">
            <w:pPr>
              <w:rPr>
                <w:b/>
                <w:bCs/>
                <w:sz w:val="18"/>
                <w:szCs w:val="18"/>
                <w:lang w:val="en-US"/>
              </w:rPr>
            </w:pPr>
            <w:r w:rsidRPr="001C3130">
              <w:rPr>
                <w:sz w:val="18"/>
                <w:szCs w:val="18"/>
              </w:rPr>
              <w:t>Target for Year 1 of LTP 24-34</w:t>
            </w:r>
          </w:p>
        </w:tc>
        <w:tc>
          <w:tcPr>
            <w:tcW w:w="1361" w:type="dxa"/>
            <w:shd w:val="clear" w:color="auto" w:fill="BFBFBF" w:themeFill="background1" w:themeFillShade="BF"/>
          </w:tcPr>
          <w:p w14:paraId="47A603B9" w14:textId="77777777" w:rsidR="00C72995" w:rsidRPr="001C3130" w:rsidRDefault="00C72995" w:rsidP="00B738E2">
            <w:pPr>
              <w:rPr>
                <w:b/>
                <w:bCs/>
                <w:sz w:val="18"/>
                <w:szCs w:val="18"/>
                <w:lang w:val="en-US"/>
              </w:rPr>
            </w:pPr>
            <w:r w:rsidRPr="001C3130">
              <w:rPr>
                <w:sz w:val="18"/>
                <w:szCs w:val="18"/>
              </w:rPr>
              <w:t>Annual Result 2024-2025</w:t>
            </w:r>
          </w:p>
        </w:tc>
        <w:tc>
          <w:tcPr>
            <w:tcW w:w="3651" w:type="dxa"/>
            <w:shd w:val="clear" w:color="auto" w:fill="BFBFBF" w:themeFill="background1" w:themeFillShade="BF"/>
          </w:tcPr>
          <w:p w14:paraId="46E9A061" w14:textId="77777777" w:rsidR="00C72995" w:rsidRPr="001C3130" w:rsidRDefault="00C72995" w:rsidP="00B738E2">
            <w:pPr>
              <w:rPr>
                <w:b/>
                <w:bCs/>
                <w:sz w:val="18"/>
                <w:szCs w:val="18"/>
                <w:lang w:val="en-US"/>
              </w:rPr>
            </w:pPr>
            <w:r w:rsidRPr="001C3130">
              <w:rPr>
                <w:sz w:val="18"/>
                <w:szCs w:val="18"/>
              </w:rPr>
              <w:t>Commentary</w:t>
            </w:r>
          </w:p>
        </w:tc>
      </w:tr>
      <w:tr w:rsidR="00C72995" w:rsidRPr="00E641B6" w14:paraId="79D50A0C" w14:textId="77777777" w:rsidTr="00B738E2">
        <w:trPr>
          <w:cantSplit/>
          <w:trHeight w:val="15"/>
        </w:trPr>
        <w:tc>
          <w:tcPr>
            <w:tcW w:w="1838" w:type="dxa"/>
            <w:shd w:val="clear" w:color="auto" w:fill="FFFFFF" w:themeFill="background1"/>
          </w:tcPr>
          <w:p w14:paraId="0F4E9067" w14:textId="5D6B0A2C" w:rsidR="00C72995" w:rsidRPr="001C3130" w:rsidRDefault="00C72995" w:rsidP="00C72995">
            <w:pPr>
              <w:rPr>
                <w:rFonts w:cs="HelveticaNeueLT Std"/>
                <w:sz w:val="18"/>
                <w:szCs w:val="18"/>
              </w:rPr>
            </w:pPr>
            <w:r w:rsidRPr="001C3130">
              <w:rPr>
                <w:sz w:val="18"/>
                <w:szCs w:val="18"/>
              </w:rPr>
              <w:t>Average consumption of water per person per day.</w:t>
            </w:r>
          </w:p>
        </w:tc>
        <w:tc>
          <w:tcPr>
            <w:tcW w:w="1361" w:type="dxa"/>
            <w:shd w:val="clear" w:color="auto" w:fill="FFFFFF" w:themeFill="background1"/>
          </w:tcPr>
          <w:p w14:paraId="540683AD" w14:textId="2BC25C8E" w:rsidR="00C72995" w:rsidRPr="001C3130" w:rsidRDefault="00C72995" w:rsidP="00C72995">
            <w:pPr>
              <w:rPr>
                <w:rFonts w:cs="HelveticaNeueLT Std"/>
                <w:sz w:val="18"/>
                <w:szCs w:val="18"/>
              </w:rPr>
            </w:pPr>
            <w:r w:rsidRPr="001C3130">
              <w:rPr>
                <w:sz w:val="18"/>
                <w:szCs w:val="18"/>
              </w:rPr>
              <w:t>540L</w:t>
            </w:r>
          </w:p>
        </w:tc>
        <w:tc>
          <w:tcPr>
            <w:tcW w:w="1361" w:type="dxa"/>
            <w:shd w:val="clear" w:color="auto" w:fill="FFFFFF" w:themeFill="background1"/>
          </w:tcPr>
          <w:p w14:paraId="18F66FE6" w14:textId="03853092" w:rsidR="00C72995" w:rsidRPr="001C3130" w:rsidRDefault="00C72995" w:rsidP="00C72995">
            <w:pPr>
              <w:rPr>
                <w:rFonts w:cs="HelveticaNeueLT Std"/>
                <w:sz w:val="18"/>
                <w:szCs w:val="18"/>
              </w:rPr>
            </w:pPr>
            <w:r w:rsidRPr="001C3130">
              <w:rPr>
                <w:sz w:val="18"/>
                <w:szCs w:val="18"/>
              </w:rPr>
              <w:t>&lt;495L</w:t>
            </w:r>
          </w:p>
        </w:tc>
        <w:tc>
          <w:tcPr>
            <w:tcW w:w="1361" w:type="dxa"/>
            <w:shd w:val="clear" w:color="auto" w:fill="FFFFFF" w:themeFill="background1"/>
          </w:tcPr>
          <w:p w14:paraId="412F7B2F" w14:textId="7DEDAD2D" w:rsidR="00C72995" w:rsidRPr="001C3130" w:rsidRDefault="00C72995" w:rsidP="00C72995">
            <w:pPr>
              <w:rPr>
                <w:rFonts w:cs="HelveticaNeueLT Std"/>
                <w:sz w:val="18"/>
                <w:szCs w:val="18"/>
              </w:rPr>
            </w:pPr>
            <w:r w:rsidRPr="001C3130">
              <w:rPr>
                <w:sz w:val="18"/>
                <w:szCs w:val="18"/>
              </w:rPr>
              <w:t>509L</w:t>
            </w:r>
          </w:p>
        </w:tc>
        <w:tc>
          <w:tcPr>
            <w:tcW w:w="3651" w:type="dxa"/>
            <w:shd w:val="clear" w:color="auto" w:fill="FFFFFF" w:themeFill="background1"/>
          </w:tcPr>
          <w:p w14:paraId="55958F7E" w14:textId="373FB988" w:rsidR="00C72995" w:rsidRPr="001C3130" w:rsidRDefault="00C72995" w:rsidP="00C72995">
            <w:pPr>
              <w:rPr>
                <w:rFonts w:cs="HelveticaNeueLT Std"/>
                <w:b/>
                <w:bCs/>
                <w:sz w:val="18"/>
                <w:szCs w:val="18"/>
              </w:rPr>
            </w:pPr>
            <w:r w:rsidRPr="001C3130">
              <w:rPr>
                <w:rFonts w:cs="HelveticaNeueLT Std"/>
                <w:b/>
                <w:bCs/>
                <w:sz w:val="18"/>
                <w:szCs w:val="18"/>
              </w:rPr>
              <w:t>Target not achieved.</w:t>
            </w:r>
          </w:p>
          <w:p w14:paraId="65AEB14F" w14:textId="2ACD27AC" w:rsidR="00C72995" w:rsidRPr="001C3130" w:rsidRDefault="00C72995" w:rsidP="00C72995">
            <w:pPr>
              <w:rPr>
                <w:rFonts w:cs="HelveticaNeueLT Std"/>
                <w:sz w:val="18"/>
                <w:szCs w:val="18"/>
              </w:rPr>
            </w:pPr>
            <w:r w:rsidRPr="001C3130">
              <w:rPr>
                <w:rFonts w:cs="HelveticaNeueLT Std"/>
                <w:sz w:val="18"/>
                <w:szCs w:val="18"/>
              </w:rPr>
              <w:t>For the full year, the average usage is approximately 2.8% above the target. This reflects an improvement on the previous year where average consumption per person was 540L/person/day.</w:t>
            </w:r>
          </w:p>
        </w:tc>
      </w:tr>
      <w:tr w:rsidR="00C72995" w:rsidRPr="00E641B6" w14:paraId="5F30B047" w14:textId="77777777" w:rsidTr="00B738E2">
        <w:trPr>
          <w:cantSplit/>
          <w:trHeight w:val="15"/>
        </w:trPr>
        <w:tc>
          <w:tcPr>
            <w:tcW w:w="1838" w:type="dxa"/>
            <w:shd w:val="clear" w:color="auto" w:fill="FFFFFF" w:themeFill="background1"/>
          </w:tcPr>
          <w:p w14:paraId="303B6EE8" w14:textId="22199F32" w:rsidR="00C72995" w:rsidRPr="001C3130" w:rsidRDefault="00C72995" w:rsidP="00C72995">
            <w:pPr>
              <w:rPr>
                <w:sz w:val="18"/>
                <w:szCs w:val="18"/>
              </w:rPr>
            </w:pPr>
            <w:r w:rsidRPr="001C3130">
              <w:rPr>
                <w:sz w:val="18"/>
                <w:szCs w:val="18"/>
              </w:rPr>
              <w:t>The extent to which the local authority’s drinking water supply complies with the drinking water quality assurance rules, specifically for bacteriological compliance.</w:t>
            </w:r>
          </w:p>
        </w:tc>
        <w:tc>
          <w:tcPr>
            <w:tcW w:w="1361" w:type="dxa"/>
            <w:shd w:val="clear" w:color="auto" w:fill="FFFFFF" w:themeFill="background1"/>
          </w:tcPr>
          <w:p w14:paraId="731A8761" w14:textId="4BFD00C7" w:rsidR="00C72995" w:rsidRPr="001C3130" w:rsidRDefault="00C72995" w:rsidP="00C72995">
            <w:pPr>
              <w:rPr>
                <w:sz w:val="18"/>
                <w:szCs w:val="18"/>
              </w:rPr>
            </w:pPr>
            <w:r w:rsidRPr="001C3130">
              <w:rPr>
                <w:sz w:val="18"/>
                <w:szCs w:val="18"/>
              </w:rPr>
              <w:t>75%</w:t>
            </w:r>
          </w:p>
        </w:tc>
        <w:tc>
          <w:tcPr>
            <w:tcW w:w="1361" w:type="dxa"/>
            <w:shd w:val="clear" w:color="auto" w:fill="FFFFFF" w:themeFill="background1"/>
          </w:tcPr>
          <w:p w14:paraId="5BC890EB" w14:textId="4413B44D" w:rsidR="00C72995" w:rsidRPr="001C3130" w:rsidRDefault="00C72995" w:rsidP="00C72995">
            <w:pPr>
              <w:rPr>
                <w:sz w:val="18"/>
                <w:szCs w:val="18"/>
              </w:rPr>
            </w:pPr>
            <w:r w:rsidRPr="001C3130">
              <w:rPr>
                <w:sz w:val="18"/>
                <w:szCs w:val="18"/>
              </w:rPr>
              <w:t>100%</w:t>
            </w:r>
          </w:p>
        </w:tc>
        <w:tc>
          <w:tcPr>
            <w:tcW w:w="1361" w:type="dxa"/>
            <w:shd w:val="clear" w:color="auto" w:fill="FFFFFF" w:themeFill="background1"/>
          </w:tcPr>
          <w:p w14:paraId="386C6ACD" w14:textId="42F8B7ED" w:rsidR="00C72995" w:rsidRPr="001C3130" w:rsidRDefault="00C72995" w:rsidP="00C72995">
            <w:pPr>
              <w:rPr>
                <w:sz w:val="18"/>
                <w:szCs w:val="18"/>
              </w:rPr>
            </w:pPr>
            <w:r w:rsidRPr="001C3130">
              <w:rPr>
                <w:sz w:val="18"/>
                <w:szCs w:val="18"/>
              </w:rPr>
              <w:t>93%</w:t>
            </w:r>
          </w:p>
        </w:tc>
        <w:tc>
          <w:tcPr>
            <w:tcW w:w="3651" w:type="dxa"/>
            <w:shd w:val="clear" w:color="auto" w:fill="FFFFFF" w:themeFill="background1"/>
          </w:tcPr>
          <w:p w14:paraId="691C0360" w14:textId="22BD605D" w:rsidR="00C72995" w:rsidRPr="001C3130" w:rsidRDefault="00C72995" w:rsidP="00C72995">
            <w:pPr>
              <w:rPr>
                <w:rFonts w:cs="HelveticaNeueLT Std"/>
                <w:b/>
                <w:bCs/>
                <w:sz w:val="18"/>
                <w:szCs w:val="18"/>
              </w:rPr>
            </w:pPr>
            <w:r w:rsidRPr="001C3130">
              <w:rPr>
                <w:rFonts w:cs="HelveticaNeueLT Std"/>
                <w:b/>
                <w:bCs/>
                <w:sz w:val="18"/>
                <w:szCs w:val="18"/>
              </w:rPr>
              <w:t xml:space="preserve">Target not achieved. Details below: </w:t>
            </w:r>
          </w:p>
          <w:p w14:paraId="36A29FF4" w14:textId="77777777" w:rsidR="00C72995" w:rsidRPr="001C3130" w:rsidRDefault="00C72995" w:rsidP="001C3130">
            <w:pPr>
              <w:pStyle w:val="ListParagraph"/>
              <w:numPr>
                <w:ilvl w:val="0"/>
                <w:numId w:val="24"/>
              </w:numPr>
              <w:rPr>
                <w:rFonts w:cs="HelveticaNeueLT Std"/>
                <w:sz w:val="18"/>
                <w:szCs w:val="18"/>
              </w:rPr>
            </w:pPr>
            <w:r w:rsidRPr="001C3130">
              <w:rPr>
                <w:rFonts w:cs="HelveticaNeueLT Std"/>
                <w:sz w:val="18"/>
                <w:szCs w:val="18"/>
              </w:rPr>
              <w:t>Cardrona - 99.13%</w:t>
            </w:r>
          </w:p>
          <w:p w14:paraId="72BA7B80" w14:textId="70D329EA" w:rsidR="00C72995" w:rsidRPr="001C3130" w:rsidRDefault="00C72995" w:rsidP="001C3130">
            <w:pPr>
              <w:pStyle w:val="ListParagraph"/>
              <w:numPr>
                <w:ilvl w:val="0"/>
                <w:numId w:val="24"/>
              </w:numPr>
              <w:rPr>
                <w:rFonts w:cs="HelveticaNeueLT Std"/>
                <w:sz w:val="18"/>
                <w:szCs w:val="18"/>
              </w:rPr>
            </w:pPr>
            <w:r w:rsidRPr="001C3130">
              <w:rPr>
                <w:rFonts w:cs="HelveticaNeueLT Std"/>
                <w:sz w:val="18"/>
                <w:szCs w:val="18"/>
              </w:rPr>
              <w:t>Arrowtown - 97.87%</w:t>
            </w:r>
          </w:p>
          <w:p w14:paraId="2910BC94" w14:textId="6FFBF755" w:rsidR="00C72995" w:rsidRPr="001C3130" w:rsidRDefault="00C72995" w:rsidP="001C3130">
            <w:pPr>
              <w:pStyle w:val="ListParagraph"/>
              <w:numPr>
                <w:ilvl w:val="0"/>
                <w:numId w:val="24"/>
              </w:numPr>
              <w:rPr>
                <w:rFonts w:cs="HelveticaNeueLT Std"/>
                <w:sz w:val="18"/>
                <w:szCs w:val="18"/>
              </w:rPr>
            </w:pPr>
            <w:r w:rsidRPr="001C3130">
              <w:rPr>
                <w:rFonts w:cs="HelveticaNeueLT Std"/>
                <w:sz w:val="18"/>
                <w:szCs w:val="18"/>
              </w:rPr>
              <w:t>Arthurs Point - 96.17%</w:t>
            </w:r>
          </w:p>
          <w:p w14:paraId="7720C07A" w14:textId="304C6580" w:rsidR="00C72995" w:rsidRPr="001C3130" w:rsidRDefault="00C72995" w:rsidP="001C3130">
            <w:pPr>
              <w:pStyle w:val="ListParagraph"/>
              <w:numPr>
                <w:ilvl w:val="0"/>
                <w:numId w:val="24"/>
              </w:numPr>
              <w:rPr>
                <w:rFonts w:cs="HelveticaNeueLT Std"/>
                <w:sz w:val="18"/>
                <w:szCs w:val="18"/>
              </w:rPr>
            </w:pPr>
            <w:proofErr w:type="spellStart"/>
            <w:r w:rsidRPr="001C3130">
              <w:rPr>
                <w:rFonts w:cs="HelveticaNeueLT Std"/>
                <w:sz w:val="18"/>
                <w:szCs w:val="18"/>
              </w:rPr>
              <w:t>Glenorchy</w:t>
            </w:r>
            <w:proofErr w:type="spellEnd"/>
            <w:r w:rsidRPr="001C3130">
              <w:rPr>
                <w:rFonts w:cs="HelveticaNeueLT Std"/>
                <w:sz w:val="18"/>
                <w:szCs w:val="18"/>
              </w:rPr>
              <w:t xml:space="preserve"> - 93.27%</w:t>
            </w:r>
          </w:p>
          <w:p w14:paraId="4FF0333A" w14:textId="7DDEAF72" w:rsidR="00C72995" w:rsidRPr="001C3130" w:rsidRDefault="00C72995" w:rsidP="001C3130">
            <w:pPr>
              <w:pStyle w:val="ListParagraph"/>
              <w:numPr>
                <w:ilvl w:val="0"/>
                <w:numId w:val="24"/>
              </w:numPr>
              <w:rPr>
                <w:rFonts w:cs="HelveticaNeueLT Std"/>
                <w:sz w:val="18"/>
                <w:szCs w:val="18"/>
              </w:rPr>
            </w:pPr>
            <w:r w:rsidRPr="001C3130">
              <w:rPr>
                <w:rFonts w:cs="HelveticaNeueLT Std"/>
                <w:sz w:val="18"/>
                <w:szCs w:val="18"/>
              </w:rPr>
              <w:t>Hāwea - 99.53%</w:t>
            </w:r>
          </w:p>
          <w:p w14:paraId="3E850693" w14:textId="62FDA159" w:rsidR="00C72995" w:rsidRPr="001C3130" w:rsidRDefault="00C72995" w:rsidP="001C3130">
            <w:pPr>
              <w:pStyle w:val="ListParagraph"/>
              <w:numPr>
                <w:ilvl w:val="0"/>
                <w:numId w:val="24"/>
              </w:numPr>
              <w:rPr>
                <w:rFonts w:cs="HelveticaNeueLT Std"/>
                <w:sz w:val="18"/>
                <w:szCs w:val="18"/>
              </w:rPr>
            </w:pPr>
            <w:r w:rsidRPr="001C3130">
              <w:rPr>
                <w:rFonts w:cs="HelveticaNeueLT Std"/>
                <w:sz w:val="18"/>
                <w:szCs w:val="18"/>
              </w:rPr>
              <w:t>Lake Hayes - 99.51%</w:t>
            </w:r>
          </w:p>
          <w:p w14:paraId="4EA4FB25" w14:textId="2A43A5F7" w:rsidR="00C72995" w:rsidRPr="001C3130" w:rsidRDefault="00C72995" w:rsidP="001C3130">
            <w:pPr>
              <w:pStyle w:val="ListParagraph"/>
              <w:numPr>
                <w:ilvl w:val="0"/>
                <w:numId w:val="24"/>
              </w:numPr>
              <w:rPr>
                <w:rFonts w:cs="HelveticaNeueLT Std"/>
                <w:sz w:val="18"/>
                <w:szCs w:val="18"/>
              </w:rPr>
            </w:pPr>
            <w:proofErr w:type="spellStart"/>
            <w:r w:rsidRPr="001C3130">
              <w:rPr>
                <w:rFonts w:cs="HelveticaNeueLT Std"/>
                <w:sz w:val="18"/>
                <w:szCs w:val="18"/>
              </w:rPr>
              <w:t>Luggate</w:t>
            </w:r>
            <w:proofErr w:type="spellEnd"/>
            <w:r w:rsidRPr="001C3130">
              <w:rPr>
                <w:rFonts w:cs="HelveticaNeueLT Std"/>
                <w:sz w:val="18"/>
                <w:szCs w:val="18"/>
              </w:rPr>
              <w:t xml:space="preserve"> - 99.11%</w:t>
            </w:r>
          </w:p>
          <w:p w14:paraId="105A11CB" w14:textId="3723B3C4" w:rsidR="00C72995" w:rsidRPr="001C3130" w:rsidRDefault="00C72995" w:rsidP="001C3130">
            <w:pPr>
              <w:pStyle w:val="ListParagraph"/>
              <w:numPr>
                <w:ilvl w:val="0"/>
                <w:numId w:val="24"/>
              </w:numPr>
              <w:rPr>
                <w:rFonts w:cs="HelveticaNeueLT Std"/>
                <w:sz w:val="18"/>
                <w:szCs w:val="18"/>
              </w:rPr>
            </w:pPr>
            <w:r w:rsidRPr="001C3130">
              <w:rPr>
                <w:rFonts w:cs="HelveticaNeueLT Std"/>
                <w:sz w:val="18"/>
                <w:szCs w:val="18"/>
              </w:rPr>
              <w:t>Queenstown - 99.02%</w:t>
            </w:r>
          </w:p>
          <w:p w14:paraId="702EB0BF" w14:textId="77777777" w:rsidR="00C72995" w:rsidRPr="001C3130" w:rsidRDefault="00C72995" w:rsidP="001C3130">
            <w:pPr>
              <w:pStyle w:val="ListParagraph"/>
              <w:numPr>
                <w:ilvl w:val="0"/>
                <w:numId w:val="24"/>
              </w:numPr>
              <w:rPr>
                <w:rFonts w:cs="HelveticaNeueLT Std"/>
                <w:sz w:val="18"/>
                <w:szCs w:val="18"/>
              </w:rPr>
            </w:pPr>
            <w:proofErr w:type="spellStart"/>
            <w:r w:rsidRPr="001C3130">
              <w:rPr>
                <w:rFonts w:cs="HelveticaNeueLT Std"/>
                <w:sz w:val="18"/>
                <w:szCs w:val="18"/>
              </w:rPr>
              <w:t>Wānaka</w:t>
            </w:r>
            <w:proofErr w:type="spellEnd"/>
            <w:r w:rsidRPr="001C3130">
              <w:rPr>
                <w:rFonts w:cs="HelveticaNeueLT Std"/>
                <w:sz w:val="18"/>
                <w:szCs w:val="18"/>
              </w:rPr>
              <w:t xml:space="preserve"> - 97.25%</w:t>
            </w:r>
          </w:p>
          <w:p w14:paraId="6A694ACC" w14:textId="6FB43746" w:rsidR="00C72995" w:rsidRPr="001C3130" w:rsidRDefault="00C72995" w:rsidP="001C3130">
            <w:pPr>
              <w:pStyle w:val="ListParagraph"/>
              <w:numPr>
                <w:ilvl w:val="0"/>
                <w:numId w:val="24"/>
              </w:numPr>
              <w:rPr>
                <w:rFonts w:cs="HelveticaNeueLT Std"/>
                <w:sz w:val="18"/>
                <w:szCs w:val="18"/>
              </w:rPr>
            </w:pPr>
            <w:proofErr w:type="spellStart"/>
            <w:r w:rsidRPr="001C3130">
              <w:rPr>
                <w:rFonts w:cs="HelveticaNeueLT Std"/>
                <w:sz w:val="18"/>
                <w:szCs w:val="18"/>
              </w:rPr>
              <w:t>Wānaka</w:t>
            </w:r>
            <w:proofErr w:type="spellEnd"/>
            <w:r w:rsidRPr="001C3130">
              <w:rPr>
                <w:rFonts w:cs="HelveticaNeueLT Std"/>
                <w:sz w:val="18"/>
                <w:szCs w:val="18"/>
              </w:rPr>
              <w:t xml:space="preserve"> Airport - 65.62%</w:t>
            </w:r>
          </w:p>
          <w:p w14:paraId="64675AD6" w14:textId="6FB966CC" w:rsidR="00C72995" w:rsidRPr="001C3130" w:rsidRDefault="00C72995" w:rsidP="001C3130">
            <w:pPr>
              <w:pStyle w:val="ListParagraph"/>
              <w:numPr>
                <w:ilvl w:val="0"/>
                <w:numId w:val="24"/>
              </w:numPr>
              <w:rPr>
                <w:rFonts w:cs="HelveticaNeueLT Std"/>
                <w:sz w:val="18"/>
                <w:szCs w:val="18"/>
              </w:rPr>
            </w:pPr>
            <w:r w:rsidRPr="001C3130">
              <w:rPr>
                <w:rFonts w:cs="HelveticaNeueLT Std"/>
                <w:sz w:val="18"/>
                <w:szCs w:val="18"/>
              </w:rPr>
              <w:t>Corbridge - 75.21%</w:t>
            </w:r>
          </w:p>
          <w:p w14:paraId="324A15BD" w14:textId="170950DD" w:rsidR="00C72995" w:rsidRPr="001C3130" w:rsidRDefault="00C72995" w:rsidP="00C72995">
            <w:pPr>
              <w:rPr>
                <w:rFonts w:cs="HelveticaNeueLT Std"/>
                <w:sz w:val="18"/>
                <w:szCs w:val="18"/>
              </w:rPr>
            </w:pPr>
            <w:r w:rsidRPr="001C3130">
              <w:rPr>
                <w:rFonts w:cs="HelveticaNeueLT Std"/>
                <w:sz w:val="18"/>
                <w:szCs w:val="18"/>
              </w:rPr>
              <w:t>Significant investment completed in period to upgrade treatment facilities which will improve levels of compliance into future years.</w:t>
            </w:r>
          </w:p>
        </w:tc>
      </w:tr>
      <w:tr w:rsidR="00C72995" w:rsidRPr="00E641B6" w14:paraId="5384FEF6" w14:textId="77777777" w:rsidTr="00B738E2">
        <w:trPr>
          <w:cantSplit/>
          <w:trHeight w:val="15"/>
        </w:trPr>
        <w:tc>
          <w:tcPr>
            <w:tcW w:w="1838" w:type="dxa"/>
            <w:shd w:val="clear" w:color="auto" w:fill="FFFFFF" w:themeFill="background1"/>
          </w:tcPr>
          <w:p w14:paraId="3CFF314A" w14:textId="5AB4E3A6" w:rsidR="00C72995" w:rsidRPr="001C3130" w:rsidRDefault="00C72995" w:rsidP="00C72995">
            <w:pPr>
              <w:rPr>
                <w:sz w:val="18"/>
                <w:szCs w:val="18"/>
              </w:rPr>
            </w:pPr>
            <w:r w:rsidRPr="001C3130">
              <w:rPr>
                <w:sz w:val="18"/>
                <w:szCs w:val="18"/>
              </w:rPr>
              <w:lastRenderedPageBreak/>
              <w:t>The extent to which the local authority’s drinking water supply complies with the drinking water quality assurance rules, specifically for protozoal compliance.</w:t>
            </w:r>
          </w:p>
        </w:tc>
        <w:tc>
          <w:tcPr>
            <w:tcW w:w="1361" w:type="dxa"/>
            <w:shd w:val="clear" w:color="auto" w:fill="FFFFFF" w:themeFill="background1"/>
          </w:tcPr>
          <w:p w14:paraId="2512B94E" w14:textId="688E4E5D" w:rsidR="00C72995" w:rsidRPr="001C3130" w:rsidRDefault="00C72995" w:rsidP="00C72995">
            <w:pPr>
              <w:rPr>
                <w:sz w:val="18"/>
                <w:szCs w:val="18"/>
              </w:rPr>
            </w:pPr>
            <w:r w:rsidRPr="001C3130">
              <w:rPr>
                <w:sz w:val="18"/>
                <w:szCs w:val="18"/>
              </w:rPr>
              <w:t>53%</w:t>
            </w:r>
          </w:p>
        </w:tc>
        <w:tc>
          <w:tcPr>
            <w:tcW w:w="1361" w:type="dxa"/>
            <w:shd w:val="clear" w:color="auto" w:fill="FFFFFF" w:themeFill="background1"/>
          </w:tcPr>
          <w:p w14:paraId="5A5B9B82" w14:textId="366137AD" w:rsidR="00C72995" w:rsidRPr="001C3130" w:rsidRDefault="00C72995" w:rsidP="00C72995">
            <w:pPr>
              <w:rPr>
                <w:sz w:val="18"/>
                <w:szCs w:val="18"/>
              </w:rPr>
            </w:pPr>
            <w:r w:rsidRPr="001C3130">
              <w:rPr>
                <w:sz w:val="18"/>
                <w:szCs w:val="18"/>
              </w:rPr>
              <w:t>100%</w:t>
            </w:r>
          </w:p>
        </w:tc>
        <w:tc>
          <w:tcPr>
            <w:tcW w:w="1361" w:type="dxa"/>
            <w:shd w:val="clear" w:color="auto" w:fill="FFFFFF" w:themeFill="background1"/>
          </w:tcPr>
          <w:p w14:paraId="0769B095" w14:textId="4AA1C548" w:rsidR="00C72995" w:rsidRPr="001C3130" w:rsidRDefault="00C72995" w:rsidP="00C72995">
            <w:pPr>
              <w:rPr>
                <w:sz w:val="18"/>
                <w:szCs w:val="18"/>
              </w:rPr>
            </w:pPr>
            <w:r w:rsidRPr="001C3130">
              <w:rPr>
                <w:sz w:val="18"/>
                <w:szCs w:val="18"/>
              </w:rPr>
              <w:t>90%</w:t>
            </w:r>
          </w:p>
        </w:tc>
        <w:tc>
          <w:tcPr>
            <w:tcW w:w="3651" w:type="dxa"/>
            <w:shd w:val="clear" w:color="auto" w:fill="FFFFFF" w:themeFill="background1"/>
          </w:tcPr>
          <w:p w14:paraId="768CBE43" w14:textId="3D3A59B6" w:rsidR="00C72995" w:rsidRPr="001C3130" w:rsidRDefault="00C72995" w:rsidP="00C72995">
            <w:pPr>
              <w:rPr>
                <w:rFonts w:cs="HelveticaNeueLT Std"/>
                <w:b/>
                <w:bCs/>
                <w:sz w:val="18"/>
                <w:szCs w:val="18"/>
              </w:rPr>
            </w:pPr>
            <w:r w:rsidRPr="001C3130">
              <w:rPr>
                <w:rFonts w:cs="HelveticaNeueLT Std"/>
                <w:b/>
                <w:bCs/>
                <w:sz w:val="18"/>
                <w:szCs w:val="18"/>
              </w:rPr>
              <w:t xml:space="preserve">Target not achieved. Details below: </w:t>
            </w:r>
          </w:p>
          <w:p w14:paraId="5D0FCC09" w14:textId="77777777" w:rsidR="001C3130" w:rsidRPr="001C3130" w:rsidRDefault="00C72995" w:rsidP="001C3130">
            <w:pPr>
              <w:pStyle w:val="ListParagraph"/>
              <w:numPr>
                <w:ilvl w:val="0"/>
                <w:numId w:val="25"/>
              </w:numPr>
              <w:rPr>
                <w:rFonts w:cs="HelveticaNeueLT Std"/>
                <w:sz w:val="18"/>
                <w:szCs w:val="18"/>
              </w:rPr>
            </w:pPr>
            <w:r w:rsidRPr="001C3130">
              <w:rPr>
                <w:rFonts w:cs="HelveticaNeueLT Std"/>
                <w:sz w:val="18"/>
                <w:szCs w:val="18"/>
              </w:rPr>
              <w:t>Cardrona - 99.95%</w:t>
            </w:r>
          </w:p>
          <w:p w14:paraId="106BF9B1" w14:textId="0AD3A9BF" w:rsidR="00C72995" w:rsidRPr="001C3130" w:rsidRDefault="00C72995" w:rsidP="001C3130">
            <w:pPr>
              <w:pStyle w:val="ListParagraph"/>
              <w:numPr>
                <w:ilvl w:val="0"/>
                <w:numId w:val="25"/>
              </w:numPr>
              <w:rPr>
                <w:rFonts w:cs="HelveticaNeueLT Std"/>
                <w:sz w:val="18"/>
                <w:szCs w:val="18"/>
              </w:rPr>
            </w:pPr>
            <w:r w:rsidRPr="001C3130">
              <w:rPr>
                <w:rFonts w:cs="HelveticaNeueLT Std"/>
                <w:sz w:val="18"/>
                <w:szCs w:val="18"/>
              </w:rPr>
              <w:t>Arrowtown - 98.43%</w:t>
            </w:r>
          </w:p>
          <w:p w14:paraId="4D995075" w14:textId="77777777" w:rsidR="001C3130" w:rsidRPr="001C3130" w:rsidRDefault="00C72995" w:rsidP="001C3130">
            <w:pPr>
              <w:pStyle w:val="ListParagraph"/>
              <w:numPr>
                <w:ilvl w:val="0"/>
                <w:numId w:val="25"/>
              </w:numPr>
              <w:rPr>
                <w:rFonts w:cs="HelveticaNeueLT Std"/>
                <w:sz w:val="18"/>
                <w:szCs w:val="18"/>
              </w:rPr>
            </w:pPr>
            <w:r w:rsidRPr="001C3130">
              <w:rPr>
                <w:rFonts w:cs="HelveticaNeueLT Std"/>
                <w:sz w:val="18"/>
                <w:szCs w:val="18"/>
              </w:rPr>
              <w:t>Arthurs Point - 97.71%</w:t>
            </w:r>
          </w:p>
          <w:p w14:paraId="1956BDC4" w14:textId="7523B948" w:rsidR="00C72995" w:rsidRPr="001C3130" w:rsidRDefault="00C72995" w:rsidP="001C3130">
            <w:pPr>
              <w:pStyle w:val="ListParagraph"/>
              <w:numPr>
                <w:ilvl w:val="0"/>
                <w:numId w:val="25"/>
              </w:numPr>
              <w:rPr>
                <w:rFonts w:cs="HelveticaNeueLT Std"/>
                <w:sz w:val="18"/>
                <w:szCs w:val="18"/>
              </w:rPr>
            </w:pPr>
            <w:proofErr w:type="spellStart"/>
            <w:r w:rsidRPr="001C3130">
              <w:rPr>
                <w:rFonts w:cs="HelveticaNeueLT Std"/>
                <w:sz w:val="18"/>
                <w:szCs w:val="18"/>
              </w:rPr>
              <w:t>Glenorchy</w:t>
            </w:r>
            <w:proofErr w:type="spellEnd"/>
            <w:r w:rsidRPr="001C3130">
              <w:rPr>
                <w:rFonts w:cs="HelveticaNeueLT Std"/>
                <w:sz w:val="18"/>
                <w:szCs w:val="18"/>
              </w:rPr>
              <w:t xml:space="preserve"> - 53.34%</w:t>
            </w:r>
          </w:p>
          <w:p w14:paraId="5BDBBCE2" w14:textId="77777777" w:rsidR="001C3130" w:rsidRPr="001C3130" w:rsidRDefault="00C72995" w:rsidP="001C3130">
            <w:pPr>
              <w:pStyle w:val="ListParagraph"/>
              <w:numPr>
                <w:ilvl w:val="0"/>
                <w:numId w:val="25"/>
              </w:numPr>
              <w:rPr>
                <w:rFonts w:cs="HelveticaNeueLT Std"/>
                <w:sz w:val="18"/>
                <w:szCs w:val="18"/>
              </w:rPr>
            </w:pPr>
            <w:r w:rsidRPr="001C3130">
              <w:rPr>
                <w:rFonts w:cs="HelveticaNeueLT Std"/>
                <w:sz w:val="18"/>
                <w:szCs w:val="18"/>
              </w:rPr>
              <w:t>Hāwea - 99.61%</w:t>
            </w:r>
          </w:p>
          <w:p w14:paraId="2FBAC01A" w14:textId="7688087F" w:rsidR="00C72995" w:rsidRPr="001C3130" w:rsidRDefault="00C72995" w:rsidP="001C3130">
            <w:pPr>
              <w:pStyle w:val="ListParagraph"/>
              <w:numPr>
                <w:ilvl w:val="0"/>
                <w:numId w:val="25"/>
              </w:numPr>
              <w:rPr>
                <w:rFonts w:cs="HelveticaNeueLT Std"/>
                <w:sz w:val="18"/>
                <w:szCs w:val="18"/>
              </w:rPr>
            </w:pPr>
            <w:r w:rsidRPr="001C3130">
              <w:rPr>
                <w:rFonts w:cs="HelveticaNeueLT Std"/>
                <w:sz w:val="18"/>
                <w:szCs w:val="18"/>
              </w:rPr>
              <w:t>Lake Hayes - 99.78%</w:t>
            </w:r>
          </w:p>
          <w:p w14:paraId="39A7D81E" w14:textId="77777777" w:rsidR="001C3130" w:rsidRPr="001C3130" w:rsidRDefault="00C72995" w:rsidP="001C3130">
            <w:pPr>
              <w:pStyle w:val="ListParagraph"/>
              <w:numPr>
                <w:ilvl w:val="0"/>
                <w:numId w:val="25"/>
              </w:numPr>
              <w:rPr>
                <w:rFonts w:cs="HelveticaNeueLT Std"/>
                <w:sz w:val="18"/>
                <w:szCs w:val="18"/>
              </w:rPr>
            </w:pPr>
            <w:proofErr w:type="spellStart"/>
            <w:r w:rsidRPr="001C3130">
              <w:rPr>
                <w:rFonts w:cs="HelveticaNeueLT Std"/>
                <w:sz w:val="18"/>
                <w:szCs w:val="18"/>
              </w:rPr>
              <w:t>Luggate</w:t>
            </w:r>
            <w:proofErr w:type="spellEnd"/>
            <w:r w:rsidRPr="001C3130">
              <w:rPr>
                <w:rFonts w:cs="HelveticaNeueLT Std"/>
                <w:sz w:val="18"/>
                <w:szCs w:val="18"/>
              </w:rPr>
              <w:t xml:space="preserve"> - 0%</w:t>
            </w:r>
          </w:p>
          <w:p w14:paraId="2A686C41" w14:textId="5BBAEE64" w:rsidR="00C72995" w:rsidRPr="001C3130" w:rsidRDefault="00C72995" w:rsidP="001C3130">
            <w:pPr>
              <w:pStyle w:val="ListParagraph"/>
              <w:numPr>
                <w:ilvl w:val="0"/>
                <w:numId w:val="25"/>
              </w:numPr>
              <w:rPr>
                <w:rFonts w:cs="HelveticaNeueLT Std"/>
                <w:sz w:val="18"/>
                <w:szCs w:val="18"/>
              </w:rPr>
            </w:pPr>
            <w:r w:rsidRPr="001C3130">
              <w:rPr>
                <w:rFonts w:cs="HelveticaNeueLT Std"/>
                <w:sz w:val="18"/>
                <w:szCs w:val="18"/>
              </w:rPr>
              <w:t>Queenstown - 93.12%</w:t>
            </w:r>
          </w:p>
          <w:p w14:paraId="375401F7" w14:textId="77777777" w:rsidR="001C3130" w:rsidRPr="001C3130" w:rsidRDefault="00C72995" w:rsidP="001C3130">
            <w:pPr>
              <w:pStyle w:val="ListParagraph"/>
              <w:numPr>
                <w:ilvl w:val="0"/>
                <w:numId w:val="25"/>
              </w:numPr>
              <w:rPr>
                <w:rFonts w:cs="HelveticaNeueLT Std"/>
                <w:sz w:val="18"/>
                <w:szCs w:val="18"/>
              </w:rPr>
            </w:pPr>
            <w:proofErr w:type="spellStart"/>
            <w:r w:rsidRPr="001C3130">
              <w:rPr>
                <w:rFonts w:cs="HelveticaNeueLT Std"/>
                <w:sz w:val="18"/>
                <w:szCs w:val="18"/>
              </w:rPr>
              <w:t>Wānaka</w:t>
            </w:r>
            <w:proofErr w:type="spellEnd"/>
            <w:r w:rsidRPr="001C3130">
              <w:rPr>
                <w:rFonts w:cs="HelveticaNeueLT Std"/>
                <w:sz w:val="18"/>
                <w:szCs w:val="18"/>
              </w:rPr>
              <w:t xml:space="preserve"> - 98.51%</w:t>
            </w:r>
          </w:p>
          <w:p w14:paraId="030DC60B" w14:textId="2D584EB7" w:rsidR="00C72995" w:rsidRPr="001C3130" w:rsidRDefault="00C72995" w:rsidP="001C3130">
            <w:pPr>
              <w:pStyle w:val="ListParagraph"/>
              <w:numPr>
                <w:ilvl w:val="0"/>
                <w:numId w:val="25"/>
              </w:numPr>
              <w:rPr>
                <w:rFonts w:cs="HelveticaNeueLT Std"/>
                <w:sz w:val="18"/>
                <w:szCs w:val="18"/>
              </w:rPr>
            </w:pPr>
            <w:proofErr w:type="spellStart"/>
            <w:r w:rsidRPr="001C3130">
              <w:rPr>
                <w:rFonts w:cs="HelveticaNeueLT Std"/>
                <w:sz w:val="18"/>
                <w:szCs w:val="18"/>
              </w:rPr>
              <w:t>Wānaka</w:t>
            </w:r>
            <w:proofErr w:type="spellEnd"/>
            <w:r w:rsidRPr="001C3130">
              <w:rPr>
                <w:rFonts w:cs="HelveticaNeueLT Std"/>
                <w:sz w:val="18"/>
                <w:szCs w:val="18"/>
              </w:rPr>
              <w:t xml:space="preserve"> Airport - 72.19%</w:t>
            </w:r>
          </w:p>
          <w:p w14:paraId="427351F6" w14:textId="2FD09AE6" w:rsidR="00C72995" w:rsidRPr="001C3130" w:rsidRDefault="00C72995" w:rsidP="001C3130">
            <w:pPr>
              <w:pStyle w:val="ListParagraph"/>
              <w:numPr>
                <w:ilvl w:val="0"/>
                <w:numId w:val="25"/>
              </w:numPr>
              <w:rPr>
                <w:rFonts w:cs="HelveticaNeueLT Std"/>
                <w:sz w:val="18"/>
                <w:szCs w:val="18"/>
              </w:rPr>
            </w:pPr>
            <w:r w:rsidRPr="001C3130">
              <w:rPr>
                <w:rFonts w:cs="HelveticaNeueLT Std"/>
                <w:sz w:val="18"/>
                <w:szCs w:val="18"/>
              </w:rPr>
              <w:t>Corbridge - 75.21%</w:t>
            </w:r>
          </w:p>
          <w:p w14:paraId="7CA7FC3F" w14:textId="71D610B9" w:rsidR="00C72995" w:rsidRPr="001C3130" w:rsidRDefault="00C72995" w:rsidP="00C72995">
            <w:pPr>
              <w:rPr>
                <w:rFonts w:cs="HelveticaNeueLT Std"/>
                <w:sz w:val="18"/>
                <w:szCs w:val="18"/>
              </w:rPr>
            </w:pPr>
            <w:r w:rsidRPr="001C3130">
              <w:rPr>
                <w:rFonts w:cs="HelveticaNeueLT Std"/>
                <w:sz w:val="18"/>
                <w:szCs w:val="18"/>
              </w:rPr>
              <w:t>Significant investment completed in period to upgrade treatment facilities which will improve levels of compliance into future years. This included the addition of protozoa barriers at two locations (</w:t>
            </w:r>
            <w:proofErr w:type="spellStart"/>
            <w:r w:rsidRPr="001C3130">
              <w:rPr>
                <w:rFonts w:cs="HelveticaNeueLT Std"/>
                <w:sz w:val="18"/>
                <w:szCs w:val="18"/>
              </w:rPr>
              <w:t>Glenorchy</w:t>
            </w:r>
            <w:proofErr w:type="spellEnd"/>
            <w:r w:rsidRPr="001C3130">
              <w:rPr>
                <w:rFonts w:cs="HelveticaNeueLT Std"/>
                <w:sz w:val="18"/>
                <w:szCs w:val="18"/>
              </w:rPr>
              <w:t xml:space="preserve"> and </w:t>
            </w:r>
            <w:proofErr w:type="spellStart"/>
            <w:r w:rsidRPr="001C3130">
              <w:rPr>
                <w:rFonts w:cs="HelveticaNeueLT Std"/>
                <w:sz w:val="18"/>
                <w:szCs w:val="18"/>
              </w:rPr>
              <w:t>Wānaka</w:t>
            </w:r>
            <w:proofErr w:type="spellEnd"/>
            <w:r w:rsidRPr="001C3130">
              <w:rPr>
                <w:rFonts w:cs="HelveticaNeueLT Std"/>
                <w:sz w:val="18"/>
                <w:szCs w:val="18"/>
              </w:rPr>
              <w:t xml:space="preserve"> Airport).</w:t>
            </w:r>
          </w:p>
        </w:tc>
      </w:tr>
      <w:tr w:rsidR="00102163" w:rsidRPr="00E641B6" w14:paraId="463A7264" w14:textId="77777777" w:rsidTr="00B738E2">
        <w:trPr>
          <w:cantSplit/>
          <w:trHeight w:val="15"/>
        </w:trPr>
        <w:tc>
          <w:tcPr>
            <w:tcW w:w="1838" w:type="dxa"/>
            <w:shd w:val="clear" w:color="auto" w:fill="FFFFFF" w:themeFill="background1"/>
          </w:tcPr>
          <w:p w14:paraId="5739A2C7" w14:textId="10D66D40" w:rsidR="00102163" w:rsidRPr="00102163" w:rsidRDefault="00102163" w:rsidP="00102163">
            <w:pPr>
              <w:rPr>
                <w:sz w:val="18"/>
                <w:szCs w:val="18"/>
              </w:rPr>
            </w:pPr>
            <w:r w:rsidRPr="00102163">
              <w:rPr>
                <w:sz w:val="18"/>
                <w:szCs w:val="18"/>
              </w:rPr>
              <w:t>The extent to which the local authority’s drinking water supply complies with the drinking water quality assurance rules, specifically for microbiological monitoring in the distribution zone.</w:t>
            </w:r>
          </w:p>
        </w:tc>
        <w:tc>
          <w:tcPr>
            <w:tcW w:w="1361" w:type="dxa"/>
            <w:shd w:val="clear" w:color="auto" w:fill="FFFFFF" w:themeFill="background1"/>
          </w:tcPr>
          <w:p w14:paraId="592685AE" w14:textId="0D29D7D1" w:rsidR="00102163" w:rsidRPr="00102163" w:rsidRDefault="00102163" w:rsidP="00102163">
            <w:pPr>
              <w:rPr>
                <w:sz w:val="18"/>
                <w:szCs w:val="18"/>
              </w:rPr>
            </w:pPr>
            <w:r w:rsidRPr="00102163">
              <w:rPr>
                <w:sz w:val="18"/>
                <w:szCs w:val="18"/>
              </w:rPr>
              <w:t>New Measure</w:t>
            </w:r>
          </w:p>
        </w:tc>
        <w:tc>
          <w:tcPr>
            <w:tcW w:w="1361" w:type="dxa"/>
            <w:shd w:val="clear" w:color="auto" w:fill="FFFFFF" w:themeFill="background1"/>
          </w:tcPr>
          <w:p w14:paraId="35E358CD" w14:textId="19491CCF" w:rsidR="00102163" w:rsidRPr="00102163" w:rsidRDefault="00102163" w:rsidP="00102163">
            <w:pPr>
              <w:rPr>
                <w:sz w:val="18"/>
                <w:szCs w:val="18"/>
              </w:rPr>
            </w:pPr>
            <w:r w:rsidRPr="00102163">
              <w:rPr>
                <w:sz w:val="18"/>
                <w:szCs w:val="18"/>
              </w:rPr>
              <w:t>100%</w:t>
            </w:r>
          </w:p>
        </w:tc>
        <w:tc>
          <w:tcPr>
            <w:tcW w:w="1361" w:type="dxa"/>
            <w:shd w:val="clear" w:color="auto" w:fill="FFFFFF" w:themeFill="background1"/>
          </w:tcPr>
          <w:p w14:paraId="6DD27C39" w14:textId="24E2E74D" w:rsidR="00102163" w:rsidRPr="00102163" w:rsidRDefault="00102163" w:rsidP="00102163">
            <w:pPr>
              <w:rPr>
                <w:sz w:val="18"/>
                <w:szCs w:val="18"/>
              </w:rPr>
            </w:pPr>
            <w:r w:rsidRPr="00102163">
              <w:rPr>
                <w:sz w:val="18"/>
                <w:szCs w:val="18"/>
              </w:rPr>
              <w:t>97%</w:t>
            </w:r>
          </w:p>
        </w:tc>
        <w:tc>
          <w:tcPr>
            <w:tcW w:w="3651" w:type="dxa"/>
            <w:shd w:val="clear" w:color="auto" w:fill="FFFFFF" w:themeFill="background1"/>
          </w:tcPr>
          <w:p w14:paraId="446562B6" w14:textId="77777777" w:rsidR="00102163" w:rsidRPr="00102163" w:rsidRDefault="00102163" w:rsidP="00102163">
            <w:pPr>
              <w:rPr>
                <w:rFonts w:cs="HelveticaNeueLT Std"/>
                <w:b/>
                <w:bCs/>
                <w:sz w:val="18"/>
                <w:szCs w:val="18"/>
              </w:rPr>
            </w:pPr>
            <w:r w:rsidRPr="00102163">
              <w:rPr>
                <w:rFonts w:cs="HelveticaNeueLT Std"/>
                <w:b/>
                <w:bCs/>
                <w:sz w:val="18"/>
                <w:szCs w:val="18"/>
              </w:rPr>
              <w:t xml:space="preserve">Target not achieved. </w:t>
            </w:r>
          </w:p>
          <w:p w14:paraId="4D005594" w14:textId="679E7117" w:rsidR="00102163" w:rsidRPr="00102163" w:rsidRDefault="00102163" w:rsidP="00102163">
            <w:pPr>
              <w:rPr>
                <w:rFonts w:cs="HelveticaNeueLT Std"/>
                <w:sz w:val="18"/>
                <w:szCs w:val="18"/>
              </w:rPr>
            </w:pPr>
            <w:r w:rsidRPr="00102163">
              <w:rPr>
                <w:rFonts w:cs="HelveticaNeueLT Std"/>
                <w:sz w:val="18"/>
                <w:szCs w:val="18"/>
              </w:rPr>
              <w:t xml:space="preserve">Target fully met at all but one scheme due to a scheduling error. Details below: </w:t>
            </w:r>
          </w:p>
          <w:p w14:paraId="1937347E" w14:textId="77777777" w:rsidR="00102163" w:rsidRPr="00102163" w:rsidRDefault="00102163" w:rsidP="00102163">
            <w:pPr>
              <w:pStyle w:val="ListParagraph"/>
              <w:numPr>
                <w:ilvl w:val="0"/>
                <w:numId w:val="26"/>
              </w:numPr>
              <w:rPr>
                <w:rFonts w:cs="HelveticaNeueLT Std"/>
                <w:sz w:val="18"/>
                <w:szCs w:val="18"/>
              </w:rPr>
            </w:pPr>
            <w:r w:rsidRPr="00102163">
              <w:rPr>
                <w:rFonts w:cs="HelveticaNeueLT Std"/>
                <w:sz w:val="18"/>
                <w:szCs w:val="18"/>
              </w:rPr>
              <w:t>Cardrona - 66.66%</w:t>
            </w:r>
          </w:p>
          <w:p w14:paraId="0129C9C0" w14:textId="77777777" w:rsidR="00102163" w:rsidRPr="00102163" w:rsidRDefault="00102163" w:rsidP="00102163">
            <w:pPr>
              <w:pStyle w:val="ListParagraph"/>
              <w:numPr>
                <w:ilvl w:val="0"/>
                <w:numId w:val="26"/>
              </w:numPr>
              <w:rPr>
                <w:rFonts w:cs="HelveticaNeueLT Std"/>
                <w:sz w:val="18"/>
                <w:szCs w:val="18"/>
              </w:rPr>
            </w:pPr>
            <w:r w:rsidRPr="00102163">
              <w:rPr>
                <w:rFonts w:cs="HelveticaNeueLT Std"/>
                <w:sz w:val="18"/>
                <w:szCs w:val="18"/>
              </w:rPr>
              <w:t>Arrowtown - 100%</w:t>
            </w:r>
          </w:p>
          <w:p w14:paraId="15FBEF9A" w14:textId="77777777" w:rsidR="00102163" w:rsidRPr="00102163" w:rsidRDefault="00102163" w:rsidP="00102163">
            <w:pPr>
              <w:pStyle w:val="ListParagraph"/>
              <w:numPr>
                <w:ilvl w:val="0"/>
                <w:numId w:val="26"/>
              </w:numPr>
              <w:rPr>
                <w:rFonts w:cs="HelveticaNeueLT Std"/>
                <w:sz w:val="18"/>
                <w:szCs w:val="18"/>
              </w:rPr>
            </w:pPr>
            <w:r w:rsidRPr="00102163">
              <w:rPr>
                <w:rFonts w:cs="HelveticaNeueLT Std"/>
                <w:sz w:val="18"/>
                <w:szCs w:val="18"/>
              </w:rPr>
              <w:t>Arthurs Point - 100%</w:t>
            </w:r>
          </w:p>
          <w:p w14:paraId="481C5D4B" w14:textId="5DD045E6" w:rsidR="00102163" w:rsidRPr="00102163" w:rsidRDefault="00102163" w:rsidP="00102163">
            <w:pPr>
              <w:pStyle w:val="ListParagraph"/>
              <w:numPr>
                <w:ilvl w:val="0"/>
                <w:numId w:val="26"/>
              </w:numPr>
              <w:rPr>
                <w:rFonts w:cs="HelveticaNeueLT Std"/>
                <w:sz w:val="18"/>
                <w:szCs w:val="18"/>
              </w:rPr>
            </w:pPr>
            <w:proofErr w:type="spellStart"/>
            <w:r w:rsidRPr="00102163">
              <w:rPr>
                <w:rFonts w:cs="HelveticaNeueLT Std"/>
                <w:sz w:val="18"/>
                <w:szCs w:val="18"/>
              </w:rPr>
              <w:t>Glenorchy</w:t>
            </w:r>
            <w:proofErr w:type="spellEnd"/>
            <w:r w:rsidRPr="00102163">
              <w:rPr>
                <w:rFonts w:cs="HelveticaNeueLT Std"/>
                <w:sz w:val="18"/>
                <w:szCs w:val="18"/>
              </w:rPr>
              <w:t xml:space="preserve"> - 100%</w:t>
            </w:r>
          </w:p>
          <w:p w14:paraId="4761E1F0" w14:textId="77777777" w:rsidR="00102163" w:rsidRPr="00102163" w:rsidRDefault="00102163" w:rsidP="00102163">
            <w:pPr>
              <w:pStyle w:val="ListParagraph"/>
              <w:numPr>
                <w:ilvl w:val="0"/>
                <w:numId w:val="26"/>
              </w:numPr>
              <w:rPr>
                <w:rFonts w:cs="HelveticaNeueLT Std"/>
                <w:sz w:val="18"/>
                <w:szCs w:val="18"/>
              </w:rPr>
            </w:pPr>
            <w:r w:rsidRPr="00102163">
              <w:rPr>
                <w:rFonts w:cs="HelveticaNeueLT Std"/>
                <w:sz w:val="18"/>
                <w:szCs w:val="18"/>
              </w:rPr>
              <w:t>Hāwea - 100%</w:t>
            </w:r>
          </w:p>
          <w:p w14:paraId="5EDE1070" w14:textId="77777777" w:rsidR="00102163" w:rsidRPr="00102163" w:rsidRDefault="00102163" w:rsidP="00102163">
            <w:pPr>
              <w:pStyle w:val="ListParagraph"/>
              <w:numPr>
                <w:ilvl w:val="0"/>
                <w:numId w:val="26"/>
              </w:numPr>
              <w:rPr>
                <w:rFonts w:cs="HelveticaNeueLT Std"/>
                <w:sz w:val="18"/>
                <w:szCs w:val="18"/>
              </w:rPr>
            </w:pPr>
            <w:r w:rsidRPr="00102163">
              <w:rPr>
                <w:rFonts w:cs="HelveticaNeueLT Std"/>
                <w:sz w:val="18"/>
                <w:szCs w:val="18"/>
              </w:rPr>
              <w:t>Lake Hayes - 100%</w:t>
            </w:r>
          </w:p>
          <w:p w14:paraId="01ADF4C7" w14:textId="77777777" w:rsidR="00102163" w:rsidRPr="00102163" w:rsidRDefault="00102163" w:rsidP="00102163">
            <w:pPr>
              <w:pStyle w:val="ListParagraph"/>
              <w:numPr>
                <w:ilvl w:val="0"/>
                <w:numId w:val="26"/>
              </w:numPr>
              <w:rPr>
                <w:rFonts w:cs="HelveticaNeueLT Std"/>
                <w:sz w:val="18"/>
                <w:szCs w:val="18"/>
              </w:rPr>
            </w:pPr>
            <w:proofErr w:type="spellStart"/>
            <w:r w:rsidRPr="00102163">
              <w:rPr>
                <w:rFonts w:cs="HelveticaNeueLT Std"/>
                <w:sz w:val="18"/>
                <w:szCs w:val="18"/>
              </w:rPr>
              <w:t>Luggate</w:t>
            </w:r>
            <w:proofErr w:type="spellEnd"/>
            <w:r w:rsidRPr="00102163">
              <w:rPr>
                <w:rFonts w:cs="HelveticaNeueLT Std"/>
                <w:sz w:val="18"/>
                <w:szCs w:val="18"/>
              </w:rPr>
              <w:t xml:space="preserve"> - 100%</w:t>
            </w:r>
          </w:p>
          <w:p w14:paraId="168C1330" w14:textId="77777777" w:rsidR="00102163" w:rsidRPr="00102163" w:rsidRDefault="00102163" w:rsidP="00102163">
            <w:pPr>
              <w:pStyle w:val="ListParagraph"/>
              <w:numPr>
                <w:ilvl w:val="0"/>
                <w:numId w:val="26"/>
              </w:numPr>
              <w:rPr>
                <w:rFonts w:cs="HelveticaNeueLT Std"/>
                <w:sz w:val="18"/>
                <w:szCs w:val="18"/>
              </w:rPr>
            </w:pPr>
            <w:r w:rsidRPr="00102163">
              <w:rPr>
                <w:rFonts w:cs="HelveticaNeueLT Std"/>
                <w:sz w:val="18"/>
                <w:szCs w:val="18"/>
              </w:rPr>
              <w:t>Queenstown - 100%</w:t>
            </w:r>
          </w:p>
          <w:p w14:paraId="6E81284F" w14:textId="77777777" w:rsidR="00102163" w:rsidRPr="00102163" w:rsidRDefault="00102163" w:rsidP="00102163">
            <w:pPr>
              <w:pStyle w:val="ListParagraph"/>
              <w:numPr>
                <w:ilvl w:val="0"/>
                <w:numId w:val="26"/>
              </w:numPr>
              <w:rPr>
                <w:rFonts w:cs="HelveticaNeueLT Std"/>
                <w:sz w:val="18"/>
                <w:szCs w:val="18"/>
              </w:rPr>
            </w:pPr>
            <w:proofErr w:type="spellStart"/>
            <w:r w:rsidRPr="00102163">
              <w:rPr>
                <w:rFonts w:cs="HelveticaNeueLT Std"/>
                <w:sz w:val="18"/>
                <w:szCs w:val="18"/>
              </w:rPr>
              <w:t>Wānaka</w:t>
            </w:r>
            <w:proofErr w:type="spellEnd"/>
            <w:r w:rsidRPr="00102163">
              <w:rPr>
                <w:rFonts w:cs="HelveticaNeueLT Std"/>
                <w:sz w:val="18"/>
                <w:szCs w:val="18"/>
              </w:rPr>
              <w:t xml:space="preserve"> - 100%</w:t>
            </w:r>
          </w:p>
          <w:p w14:paraId="051D7361" w14:textId="77777777" w:rsidR="00102163" w:rsidRPr="00102163" w:rsidRDefault="00102163" w:rsidP="00102163">
            <w:pPr>
              <w:pStyle w:val="ListParagraph"/>
              <w:numPr>
                <w:ilvl w:val="0"/>
                <w:numId w:val="26"/>
              </w:numPr>
              <w:rPr>
                <w:rFonts w:cs="HelveticaNeueLT Std"/>
                <w:sz w:val="18"/>
                <w:szCs w:val="18"/>
              </w:rPr>
            </w:pPr>
            <w:proofErr w:type="spellStart"/>
            <w:r w:rsidRPr="00102163">
              <w:rPr>
                <w:rFonts w:cs="HelveticaNeueLT Std"/>
                <w:sz w:val="18"/>
                <w:szCs w:val="18"/>
              </w:rPr>
              <w:t>Wānaka</w:t>
            </w:r>
            <w:proofErr w:type="spellEnd"/>
            <w:r w:rsidRPr="00102163">
              <w:rPr>
                <w:rFonts w:cs="HelveticaNeueLT Std"/>
                <w:sz w:val="18"/>
                <w:szCs w:val="18"/>
              </w:rPr>
              <w:t xml:space="preserve"> Airport - 100%</w:t>
            </w:r>
          </w:p>
          <w:p w14:paraId="3EF4890C" w14:textId="7CCC381B" w:rsidR="00102163" w:rsidRPr="00102163" w:rsidRDefault="00102163" w:rsidP="00102163">
            <w:pPr>
              <w:pStyle w:val="ListParagraph"/>
              <w:numPr>
                <w:ilvl w:val="0"/>
                <w:numId w:val="26"/>
              </w:numPr>
              <w:rPr>
                <w:rFonts w:cs="HelveticaNeueLT Std"/>
                <w:sz w:val="18"/>
                <w:szCs w:val="18"/>
              </w:rPr>
            </w:pPr>
            <w:r w:rsidRPr="00102163">
              <w:rPr>
                <w:rFonts w:cs="HelveticaNeueLT Std"/>
                <w:sz w:val="18"/>
                <w:szCs w:val="18"/>
              </w:rPr>
              <w:t>Corbridge - 100%</w:t>
            </w:r>
          </w:p>
        </w:tc>
      </w:tr>
      <w:tr w:rsidR="00102163" w:rsidRPr="00E641B6" w14:paraId="03C02900" w14:textId="77777777" w:rsidTr="00B738E2">
        <w:trPr>
          <w:cantSplit/>
          <w:trHeight w:val="15"/>
        </w:trPr>
        <w:tc>
          <w:tcPr>
            <w:tcW w:w="1838" w:type="dxa"/>
            <w:shd w:val="clear" w:color="auto" w:fill="FFFFFF" w:themeFill="background1"/>
          </w:tcPr>
          <w:p w14:paraId="7BE7FF0D" w14:textId="2FD02DFF" w:rsidR="00102163" w:rsidRPr="00102163" w:rsidRDefault="00102163" w:rsidP="00102163">
            <w:pPr>
              <w:rPr>
                <w:sz w:val="18"/>
                <w:szCs w:val="18"/>
              </w:rPr>
            </w:pPr>
            <w:r w:rsidRPr="00102163">
              <w:rPr>
                <w:sz w:val="18"/>
                <w:szCs w:val="18"/>
              </w:rPr>
              <w:t>Percentage of water lost from each municipal water reticulation network.</w:t>
            </w:r>
          </w:p>
        </w:tc>
        <w:tc>
          <w:tcPr>
            <w:tcW w:w="1361" w:type="dxa"/>
            <w:shd w:val="clear" w:color="auto" w:fill="FFFFFF" w:themeFill="background1"/>
          </w:tcPr>
          <w:p w14:paraId="0E308E36" w14:textId="60814BE1" w:rsidR="00102163" w:rsidRPr="00102163" w:rsidRDefault="00102163" w:rsidP="00102163">
            <w:pPr>
              <w:rPr>
                <w:sz w:val="18"/>
                <w:szCs w:val="18"/>
              </w:rPr>
            </w:pPr>
            <w:r w:rsidRPr="00102163">
              <w:rPr>
                <w:sz w:val="18"/>
                <w:szCs w:val="18"/>
              </w:rPr>
              <w:t>25%</w:t>
            </w:r>
          </w:p>
        </w:tc>
        <w:tc>
          <w:tcPr>
            <w:tcW w:w="1361" w:type="dxa"/>
            <w:shd w:val="clear" w:color="auto" w:fill="FFFFFF" w:themeFill="background1"/>
          </w:tcPr>
          <w:p w14:paraId="77CC6416" w14:textId="5B48D213" w:rsidR="00102163" w:rsidRPr="00102163" w:rsidRDefault="00102163" w:rsidP="00102163">
            <w:pPr>
              <w:rPr>
                <w:sz w:val="18"/>
                <w:szCs w:val="18"/>
              </w:rPr>
            </w:pPr>
            <w:r w:rsidRPr="00102163">
              <w:rPr>
                <w:sz w:val="18"/>
                <w:szCs w:val="18"/>
              </w:rPr>
              <w:t>&lt;30%</w:t>
            </w:r>
          </w:p>
        </w:tc>
        <w:tc>
          <w:tcPr>
            <w:tcW w:w="1361" w:type="dxa"/>
            <w:shd w:val="clear" w:color="auto" w:fill="FFFFFF" w:themeFill="background1"/>
          </w:tcPr>
          <w:p w14:paraId="7728A237" w14:textId="13B00CDB" w:rsidR="00102163" w:rsidRPr="00102163" w:rsidRDefault="00102163" w:rsidP="00102163">
            <w:pPr>
              <w:rPr>
                <w:sz w:val="18"/>
                <w:szCs w:val="18"/>
              </w:rPr>
            </w:pPr>
            <w:r w:rsidRPr="00102163">
              <w:rPr>
                <w:sz w:val="18"/>
                <w:szCs w:val="18"/>
              </w:rPr>
              <w:t>27%</w:t>
            </w:r>
          </w:p>
        </w:tc>
        <w:tc>
          <w:tcPr>
            <w:tcW w:w="3651" w:type="dxa"/>
            <w:shd w:val="clear" w:color="auto" w:fill="FFFFFF" w:themeFill="background1"/>
          </w:tcPr>
          <w:p w14:paraId="69372358" w14:textId="77777777" w:rsidR="00955EF7" w:rsidRDefault="00955EF7" w:rsidP="00102163">
            <w:pPr>
              <w:rPr>
                <w:rFonts w:cs="HelveticaNeueLT Std"/>
                <w:b/>
                <w:bCs/>
                <w:sz w:val="18"/>
                <w:szCs w:val="18"/>
              </w:rPr>
            </w:pPr>
            <w:r w:rsidRPr="00102163">
              <w:rPr>
                <w:rFonts w:cs="HelveticaNeueLT Std"/>
                <w:b/>
                <w:bCs/>
                <w:sz w:val="18"/>
                <w:szCs w:val="18"/>
              </w:rPr>
              <w:t>Target achieved.</w:t>
            </w:r>
            <w:r>
              <w:rPr>
                <w:rFonts w:cs="HelveticaNeueLT Std"/>
                <w:b/>
                <w:bCs/>
                <w:sz w:val="18"/>
                <w:szCs w:val="18"/>
              </w:rPr>
              <w:t xml:space="preserve"> </w:t>
            </w:r>
          </w:p>
          <w:p w14:paraId="6CE40C7E" w14:textId="793B0B8D" w:rsidR="00102163" w:rsidRPr="00102163" w:rsidRDefault="00955EF7" w:rsidP="00102163">
            <w:pPr>
              <w:rPr>
                <w:rFonts w:cs="HelveticaNeueLT Std"/>
                <w:sz w:val="18"/>
                <w:szCs w:val="18"/>
              </w:rPr>
            </w:pPr>
            <w:r w:rsidRPr="00955EF7">
              <w:rPr>
                <w:rFonts w:cs="HelveticaNeueLT Std"/>
                <w:sz w:val="18"/>
                <w:szCs w:val="18"/>
              </w:rPr>
              <w:t>Water losses have increased slightly from the last period but still achieve the target set. As per last year high levels of loss continue to be observed in some of the smaller schemes and will remain focus of next year’s leak detection programme.</w:t>
            </w:r>
          </w:p>
        </w:tc>
      </w:tr>
      <w:tr w:rsidR="00102163" w:rsidRPr="00E641B6" w14:paraId="7B1776EA" w14:textId="77777777" w:rsidTr="00B738E2">
        <w:trPr>
          <w:cantSplit/>
          <w:trHeight w:val="15"/>
        </w:trPr>
        <w:tc>
          <w:tcPr>
            <w:tcW w:w="1838" w:type="dxa"/>
            <w:shd w:val="clear" w:color="auto" w:fill="FFFFFF" w:themeFill="background1"/>
          </w:tcPr>
          <w:p w14:paraId="5722EDCC" w14:textId="63E9DAE3" w:rsidR="00102163" w:rsidRPr="00102163" w:rsidRDefault="00102163" w:rsidP="00102163">
            <w:pPr>
              <w:rPr>
                <w:sz w:val="18"/>
                <w:szCs w:val="18"/>
              </w:rPr>
            </w:pPr>
            <w:r w:rsidRPr="00102163">
              <w:rPr>
                <w:sz w:val="18"/>
                <w:szCs w:val="18"/>
              </w:rPr>
              <w:t>Median response time to attend to issues resulting from municipal water reticulation network faults and unplanned interruptions between the time of notification and the time when service personnel reach the site - urgent.</w:t>
            </w:r>
          </w:p>
        </w:tc>
        <w:tc>
          <w:tcPr>
            <w:tcW w:w="1361" w:type="dxa"/>
            <w:shd w:val="clear" w:color="auto" w:fill="FFFFFF" w:themeFill="background1"/>
          </w:tcPr>
          <w:p w14:paraId="72099535" w14:textId="1D7F328C" w:rsidR="00102163" w:rsidRPr="00102163" w:rsidRDefault="00102163" w:rsidP="00102163">
            <w:pPr>
              <w:rPr>
                <w:sz w:val="18"/>
                <w:szCs w:val="18"/>
              </w:rPr>
            </w:pPr>
            <w:r w:rsidRPr="00102163">
              <w:rPr>
                <w:sz w:val="18"/>
                <w:szCs w:val="18"/>
              </w:rPr>
              <w:t>52min</w:t>
            </w:r>
          </w:p>
        </w:tc>
        <w:tc>
          <w:tcPr>
            <w:tcW w:w="1361" w:type="dxa"/>
            <w:shd w:val="clear" w:color="auto" w:fill="FFFFFF" w:themeFill="background1"/>
          </w:tcPr>
          <w:p w14:paraId="74ADF3E2" w14:textId="33C2F6E8" w:rsidR="00102163" w:rsidRPr="00102163" w:rsidRDefault="00102163" w:rsidP="00102163">
            <w:pPr>
              <w:rPr>
                <w:sz w:val="18"/>
                <w:szCs w:val="18"/>
              </w:rPr>
            </w:pPr>
            <w:r w:rsidRPr="00102163">
              <w:rPr>
                <w:sz w:val="18"/>
                <w:szCs w:val="18"/>
              </w:rPr>
              <w:t>&lt;60min</w:t>
            </w:r>
          </w:p>
        </w:tc>
        <w:tc>
          <w:tcPr>
            <w:tcW w:w="1361" w:type="dxa"/>
            <w:shd w:val="clear" w:color="auto" w:fill="FFFFFF" w:themeFill="background1"/>
          </w:tcPr>
          <w:p w14:paraId="50721904" w14:textId="5986F826" w:rsidR="00102163" w:rsidRPr="00102163" w:rsidRDefault="00102163" w:rsidP="00102163">
            <w:pPr>
              <w:rPr>
                <w:sz w:val="18"/>
                <w:szCs w:val="18"/>
              </w:rPr>
            </w:pPr>
            <w:r w:rsidRPr="00102163">
              <w:rPr>
                <w:sz w:val="18"/>
                <w:szCs w:val="18"/>
              </w:rPr>
              <w:t>42min</w:t>
            </w:r>
          </w:p>
        </w:tc>
        <w:tc>
          <w:tcPr>
            <w:tcW w:w="3651" w:type="dxa"/>
            <w:shd w:val="clear" w:color="auto" w:fill="FFFFFF" w:themeFill="background1"/>
          </w:tcPr>
          <w:p w14:paraId="5E36D94B" w14:textId="77777777" w:rsidR="00955EF7" w:rsidRDefault="00955EF7" w:rsidP="00955EF7">
            <w:pPr>
              <w:rPr>
                <w:rFonts w:cs="HelveticaNeueLT Std"/>
                <w:b/>
                <w:bCs/>
                <w:sz w:val="18"/>
                <w:szCs w:val="18"/>
              </w:rPr>
            </w:pPr>
            <w:r w:rsidRPr="00102163">
              <w:rPr>
                <w:rFonts w:cs="HelveticaNeueLT Std"/>
                <w:b/>
                <w:bCs/>
                <w:sz w:val="18"/>
                <w:szCs w:val="18"/>
              </w:rPr>
              <w:t>Target achieved.</w:t>
            </w:r>
            <w:r>
              <w:rPr>
                <w:rFonts w:cs="HelveticaNeueLT Std"/>
                <w:b/>
                <w:bCs/>
                <w:sz w:val="18"/>
                <w:szCs w:val="18"/>
              </w:rPr>
              <w:t xml:space="preserve"> </w:t>
            </w:r>
          </w:p>
          <w:p w14:paraId="17F861B8" w14:textId="53577BD7" w:rsidR="00955EF7" w:rsidRPr="00955EF7" w:rsidRDefault="00955EF7" w:rsidP="00955EF7">
            <w:pPr>
              <w:rPr>
                <w:rFonts w:cs="HelveticaNeueLT Std"/>
                <w:sz w:val="18"/>
                <w:szCs w:val="18"/>
              </w:rPr>
            </w:pPr>
            <w:r w:rsidRPr="00955EF7">
              <w:rPr>
                <w:rFonts w:cs="HelveticaNeueLT Std"/>
                <w:sz w:val="18"/>
                <w:szCs w:val="18"/>
              </w:rPr>
              <w:t xml:space="preserve">The targets set across all water supply response categories were achieved in the 2024/25 period. </w:t>
            </w:r>
          </w:p>
          <w:p w14:paraId="4436884B" w14:textId="4C617F25" w:rsidR="00102163" w:rsidRPr="00102163" w:rsidRDefault="00955EF7" w:rsidP="00955EF7">
            <w:pPr>
              <w:rPr>
                <w:rFonts w:cs="HelveticaNeueLT Std"/>
                <w:sz w:val="18"/>
                <w:szCs w:val="18"/>
              </w:rPr>
            </w:pPr>
            <w:r w:rsidRPr="00955EF7">
              <w:rPr>
                <w:rFonts w:cs="HelveticaNeueLT Std"/>
                <w:sz w:val="18"/>
                <w:szCs w:val="18"/>
              </w:rPr>
              <w:t>There were 31 urgent requests and 1,204 non-urgent requests in the period. The number of requests received represent a slight decrease on the previous year.</w:t>
            </w:r>
          </w:p>
        </w:tc>
      </w:tr>
      <w:tr w:rsidR="00102163" w:rsidRPr="00E641B6" w14:paraId="498F70DB" w14:textId="77777777" w:rsidTr="00B738E2">
        <w:trPr>
          <w:cantSplit/>
          <w:trHeight w:val="15"/>
        </w:trPr>
        <w:tc>
          <w:tcPr>
            <w:tcW w:w="1838" w:type="dxa"/>
            <w:shd w:val="clear" w:color="auto" w:fill="FFFFFF" w:themeFill="background1"/>
          </w:tcPr>
          <w:p w14:paraId="759C37CB" w14:textId="29EAA9CA" w:rsidR="00102163" w:rsidRPr="001E55CC" w:rsidRDefault="00102163" w:rsidP="00102163">
            <w:pPr>
              <w:rPr>
                <w:sz w:val="18"/>
                <w:szCs w:val="18"/>
              </w:rPr>
            </w:pPr>
            <w:r w:rsidRPr="001E55CC">
              <w:rPr>
                <w:sz w:val="18"/>
                <w:szCs w:val="18"/>
              </w:rPr>
              <w:lastRenderedPageBreak/>
              <w:t>Median response time to attend to issues resulting from municipal water reticulation network faults and unplanned interruptions between the time of notification and the time when service personnel reach the site - non urgent.</w:t>
            </w:r>
          </w:p>
        </w:tc>
        <w:tc>
          <w:tcPr>
            <w:tcW w:w="1361" w:type="dxa"/>
            <w:shd w:val="clear" w:color="auto" w:fill="FFFFFF" w:themeFill="background1"/>
          </w:tcPr>
          <w:p w14:paraId="05157065" w14:textId="2A807803" w:rsidR="00102163" w:rsidRPr="001E55CC" w:rsidRDefault="00102163" w:rsidP="00102163">
            <w:pPr>
              <w:rPr>
                <w:sz w:val="18"/>
                <w:szCs w:val="18"/>
              </w:rPr>
            </w:pPr>
            <w:r w:rsidRPr="001E55CC">
              <w:rPr>
                <w:sz w:val="18"/>
                <w:szCs w:val="18"/>
              </w:rPr>
              <w:t>1,325min</w:t>
            </w:r>
          </w:p>
        </w:tc>
        <w:tc>
          <w:tcPr>
            <w:tcW w:w="1361" w:type="dxa"/>
            <w:shd w:val="clear" w:color="auto" w:fill="FFFFFF" w:themeFill="background1"/>
          </w:tcPr>
          <w:p w14:paraId="228579BB" w14:textId="290CD74D" w:rsidR="00102163" w:rsidRPr="001E55CC" w:rsidRDefault="00102163" w:rsidP="00102163">
            <w:pPr>
              <w:rPr>
                <w:sz w:val="18"/>
                <w:szCs w:val="18"/>
              </w:rPr>
            </w:pPr>
            <w:r w:rsidRPr="001E55CC">
              <w:rPr>
                <w:sz w:val="18"/>
                <w:szCs w:val="18"/>
              </w:rPr>
              <w:t xml:space="preserve">&lt;1,440min </w:t>
            </w:r>
            <w:r w:rsidR="00237D32" w:rsidRPr="001E55CC">
              <w:rPr>
                <w:sz w:val="18"/>
                <w:szCs w:val="18"/>
              </w:rPr>
              <w:br/>
            </w:r>
            <w:r w:rsidRPr="001E55CC">
              <w:rPr>
                <w:sz w:val="18"/>
                <w:szCs w:val="18"/>
              </w:rPr>
              <w:t>(1 day)</w:t>
            </w:r>
          </w:p>
        </w:tc>
        <w:tc>
          <w:tcPr>
            <w:tcW w:w="1361" w:type="dxa"/>
            <w:shd w:val="clear" w:color="auto" w:fill="FFFFFF" w:themeFill="background1"/>
          </w:tcPr>
          <w:p w14:paraId="759BC6C2" w14:textId="230C0674" w:rsidR="00102163" w:rsidRPr="001E55CC" w:rsidRDefault="00102163" w:rsidP="00102163">
            <w:pPr>
              <w:rPr>
                <w:sz w:val="18"/>
                <w:szCs w:val="18"/>
              </w:rPr>
            </w:pPr>
            <w:r w:rsidRPr="001E55CC">
              <w:rPr>
                <w:sz w:val="18"/>
                <w:szCs w:val="18"/>
              </w:rPr>
              <w:t>1,059min</w:t>
            </w:r>
          </w:p>
        </w:tc>
        <w:tc>
          <w:tcPr>
            <w:tcW w:w="3651" w:type="dxa"/>
            <w:shd w:val="clear" w:color="auto" w:fill="FFFFFF" w:themeFill="background1"/>
          </w:tcPr>
          <w:p w14:paraId="7424F9C8" w14:textId="43BBAAD4" w:rsidR="00102163" w:rsidRPr="001E55CC" w:rsidRDefault="00955EF7" w:rsidP="00102163">
            <w:pPr>
              <w:rPr>
                <w:rFonts w:cs="HelveticaNeueLT Std"/>
                <w:b/>
                <w:bCs/>
                <w:sz w:val="18"/>
                <w:szCs w:val="18"/>
              </w:rPr>
            </w:pPr>
            <w:r w:rsidRPr="001E55CC">
              <w:rPr>
                <w:rFonts w:cs="HelveticaNeueLT Std"/>
                <w:b/>
                <w:bCs/>
                <w:sz w:val="18"/>
                <w:szCs w:val="18"/>
              </w:rPr>
              <w:t xml:space="preserve">Target achieved. </w:t>
            </w:r>
          </w:p>
        </w:tc>
      </w:tr>
      <w:tr w:rsidR="00955EF7" w:rsidRPr="00E641B6" w14:paraId="63E6FC70" w14:textId="77777777" w:rsidTr="00B738E2">
        <w:trPr>
          <w:cantSplit/>
          <w:trHeight w:val="15"/>
        </w:trPr>
        <w:tc>
          <w:tcPr>
            <w:tcW w:w="1838" w:type="dxa"/>
            <w:shd w:val="clear" w:color="auto" w:fill="FFFFFF" w:themeFill="background1"/>
          </w:tcPr>
          <w:p w14:paraId="00958B2A" w14:textId="5029DF8D" w:rsidR="00955EF7" w:rsidRPr="001E55CC" w:rsidRDefault="00955EF7" w:rsidP="00955EF7">
            <w:pPr>
              <w:rPr>
                <w:sz w:val="18"/>
                <w:szCs w:val="18"/>
              </w:rPr>
            </w:pPr>
            <w:r w:rsidRPr="001E55CC">
              <w:rPr>
                <w:sz w:val="18"/>
                <w:szCs w:val="18"/>
              </w:rPr>
              <w:t>Median response time to attend to issues resulting from municipal water reticulation network faults and unplanned interruptions between the time of notification and resolution of the blockage or other fault - urgent.</w:t>
            </w:r>
          </w:p>
        </w:tc>
        <w:tc>
          <w:tcPr>
            <w:tcW w:w="1361" w:type="dxa"/>
            <w:shd w:val="clear" w:color="auto" w:fill="FFFFFF" w:themeFill="background1"/>
          </w:tcPr>
          <w:p w14:paraId="04087FE9" w14:textId="71720387" w:rsidR="00955EF7" w:rsidRPr="001E55CC" w:rsidRDefault="00955EF7" w:rsidP="00955EF7">
            <w:pPr>
              <w:rPr>
                <w:sz w:val="18"/>
                <w:szCs w:val="18"/>
              </w:rPr>
            </w:pPr>
            <w:r w:rsidRPr="001E55CC">
              <w:rPr>
                <w:sz w:val="18"/>
                <w:szCs w:val="18"/>
              </w:rPr>
              <w:t>1,293min</w:t>
            </w:r>
          </w:p>
        </w:tc>
        <w:tc>
          <w:tcPr>
            <w:tcW w:w="1361" w:type="dxa"/>
            <w:shd w:val="clear" w:color="auto" w:fill="FFFFFF" w:themeFill="background1"/>
          </w:tcPr>
          <w:p w14:paraId="551FC338" w14:textId="6CAC7D9A" w:rsidR="00955EF7" w:rsidRPr="001E55CC" w:rsidRDefault="00955EF7" w:rsidP="00955EF7">
            <w:pPr>
              <w:rPr>
                <w:sz w:val="18"/>
                <w:szCs w:val="18"/>
              </w:rPr>
            </w:pPr>
            <w:r w:rsidRPr="001E55CC">
              <w:rPr>
                <w:sz w:val="18"/>
                <w:szCs w:val="18"/>
              </w:rPr>
              <w:t xml:space="preserve">&lt;1,440min </w:t>
            </w:r>
            <w:r w:rsidR="00237D32" w:rsidRPr="001E55CC">
              <w:rPr>
                <w:sz w:val="18"/>
                <w:szCs w:val="18"/>
              </w:rPr>
              <w:br/>
            </w:r>
            <w:r w:rsidRPr="001E55CC">
              <w:rPr>
                <w:sz w:val="18"/>
                <w:szCs w:val="18"/>
              </w:rPr>
              <w:t>(1 day)</w:t>
            </w:r>
          </w:p>
        </w:tc>
        <w:tc>
          <w:tcPr>
            <w:tcW w:w="1361" w:type="dxa"/>
            <w:shd w:val="clear" w:color="auto" w:fill="FFFFFF" w:themeFill="background1"/>
          </w:tcPr>
          <w:p w14:paraId="3E911BCF" w14:textId="60EB0987" w:rsidR="00955EF7" w:rsidRPr="001E55CC" w:rsidRDefault="00955EF7" w:rsidP="00955EF7">
            <w:pPr>
              <w:rPr>
                <w:sz w:val="18"/>
                <w:szCs w:val="18"/>
              </w:rPr>
            </w:pPr>
            <w:r w:rsidRPr="001E55CC">
              <w:rPr>
                <w:sz w:val="18"/>
                <w:szCs w:val="18"/>
              </w:rPr>
              <w:t>342min</w:t>
            </w:r>
          </w:p>
        </w:tc>
        <w:tc>
          <w:tcPr>
            <w:tcW w:w="3651" w:type="dxa"/>
            <w:shd w:val="clear" w:color="auto" w:fill="FFFFFF" w:themeFill="background1"/>
          </w:tcPr>
          <w:p w14:paraId="5FE4B455" w14:textId="0EC9A348" w:rsidR="00955EF7" w:rsidRPr="001E55CC" w:rsidRDefault="00955EF7" w:rsidP="00955EF7">
            <w:pPr>
              <w:rPr>
                <w:rFonts w:cs="HelveticaNeueLT Std"/>
                <w:b/>
                <w:bCs/>
                <w:sz w:val="18"/>
                <w:szCs w:val="18"/>
              </w:rPr>
            </w:pPr>
            <w:r w:rsidRPr="001E55CC">
              <w:rPr>
                <w:rFonts w:cs="HelveticaNeueLT Std"/>
                <w:b/>
                <w:bCs/>
                <w:sz w:val="18"/>
                <w:szCs w:val="18"/>
              </w:rPr>
              <w:t>Target achieved.</w:t>
            </w:r>
          </w:p>
        </w:tc>
      </w:tr>
      <w:tr w:rsidR="00955EF7" w:rsidRPr="00E641B6" w14:paraId="20A5463E" w14:textId="77777777" w:rsidTr="00B738E2">
        <w:trPr>
          <w:cantSplit/>
          <w:trHeight w:val="15"/>
        </w:trPr>
        <w:tc>
          <w:tcPr>
            <w:tcW w:w="1838" w:type="dxa"/>
            <w:shd w:val="clear" w:color="auto" w:fill="FFFFFF" w:themeFill="background1"/>
          </w:tcPr>
          <w:p w14:paraId="098C47C5" w14:textId="33D97096" w:rsidR="00955EF7" w:rsidRPr="001E55CC" w:rsidRDefault="00955EF7" w:rsidP="00955EF7">
            <w:pPr>
              <w:rPr>
                <w:sz w:val="18"/>
                <w:szCs w:val="18"/>
              </w:rPr>
            </w:pPr>
            <w:r w:rsidRPr="001E55CC">
              <w:rPr>
                <w:sz w:val="18"/>
                <w:szCs w:val="18"/>
              </w:rPr>
              <w:t>Median response time to attend to issues resulting from municipal water reticulation network faults and unplanned interruptions between the time of notification and resolution of the blockage or other fault - non urgent.</w:t>
            </w:r>
          </w:p>
        </w:tc>
        <w:tc>
          <w:tcPr>
            <w:tcW w:w="1361" w:type="dxa"/>
            <w:shd w:val="clear" w:color="auto" w:fill="FFFFFF" w:themeFill="background1"/>
          </w:tcPr>
          <w:p w14:paraId="65AA0FBB" w14:textId="37C0FD97" w:rsidR="00955EF7" w:rsidRPr="001E55CC" w:rsidRDefault="00955EF7" w:rsidP="00955EF7">
            <w:pPr>
              <w:rPr>
                <w:sz w:val="18"/>
                <w:szCs w:val="18"/>
              </w:rPr>
            </w:pPr>
            <w:r w:rsidRPr="001E55CC">
              <w:rPr>
                <w:sz w:val="18"/>
                <w:szCs w:val="18"/>
              </w:rPr>
              <w:t>4,490min</w:t>
            </w:r>
          </w:p>
        </w:tc>
        <w:tc>
          <w:tcPr>
            <w:tcW w:w="1361" w:type="dxa"/>
            <w:shd w:val="clear" w:color="auto" w:fill="FFFFFF" w:themeFill="background1"/>
          </w:tcPr>
          <w:p w14:paraId="482A577E" w14:textId="3DE49ECC" w:rsidR="00955EF7" w:rsidRPr="001E55CC" w:rsidRDefault="00955EF7" w:rsidP="00955EF7">
            <w:pPr>
              <w:rPr>
                <w:sz w:val="18"/>
                <w:szCs w:val="18"/>
              </w:rPr>
            </w:pPr>
            <w:r w:rsidRPr="001E55CC">
              <w:rPr>
                <w:sz w:val="18"/>
                <w:szCs w:val="18"/>
              </w:rPr>
              <w:t>&lt;10,080min</w:t>
            </w:r>
            <w:r w:rsidR="00237D32" w:rsidRPr="001E55CC">
              <w:rPr>
                <w:sz w:val="18"/>
                <w:szCs w:val="18"/>
              </w:rPr>
              <w:br/>
            </w:r>
            <w:r w:rsidRPr="001E55CC">
              <w:rPr>
                <w:sz w:val="18"/>
                <w:szCs w:val="18"/>
              </w:rPr>
              <w:t>(7 days)</w:t>
            </w:r>
          </w:p>
        </w:tc>
        <w:tc>
          <w:tcPr>
            <w:tcW w:w="1361" w:type="dxa"/>
            <w:shd w:val="clear" w:color="auto" w:fill="FFFFFF" w:themeFill="background1"/>
          </w:tcPr>
          <w:p w14:paraId="1B6B5F75" w14:textId="3C3D7A74" w:rsidR="00955EF7" w:rsidRPr="001E55CC" w:rsidRDefault="00955EF7" w:rsidP="00955EF7">
            <w:pPr>
              <w:rPr>
                <w:sz w:val="18"/>
                <w:szCs w:val="18"/>
              </w:rPr>
            </w:pPr>
            <w:r w:rsidRPr="001E55CC">
              <w:rPr>
                <w:sz w:val="18"/>
                <w:szCs w:val="18"/>
              </w:rPr>
              <w:t>4,220min</w:t>
            </w:r>
          </w:p>
        </w:tc>
        <w:tc>
          <w:tcPr>
            <w:tcW w:w="3651" w:type="dxa"/>
            <w:shd w:val="clear" w:color="auto" w:fill="FFFFFF" w:themeFill="background1"/>
          </w:tcPr>
          <w:p w14:paraId="0139C773" w14:textId="1B778BFF" w:rsidR="00955EF7" w:rsidRPr="001E55CC" w:rsidRDefault="00955EF7" w:rsidP="00955EF7">
            <w:pPr>
              <w:rPr>
                <w:rFonts w:cs="HelveticaNeueLT Std"/>
                <w:b/>
                <w:bCs/>
                <w:sz w:val="18"/>
                <w:szCs w:val="18"/>
              </w:rPr>
            </w:pPr>
            <w:r w:rsidRPr="001E55CC">
              <w:rPr>
                <w:rFonts w:cs="HelveticaNeueLT Std"/>
                <w:b/>
                <w:bCs/>
                <w:sz w:val="18"/>
                <w:szCs w:val="18"/>
              </w:rPr>
              <w:t>Target achieved.</w:t>
            </w:r>
          </w:p>
        </w:tc>
      </w:tr>
      <w:tr w:rsidR="00955EF7" w:rsidRPr="00E641B6" w14:paraId="7D91280C" w14:textId="77777777" w:rsidTr="00B738E2">
        <w:trPr>
          <w:cantSplit/>
          <w:trHeight w:val="15"/>
        </w:trPr>
        <w:tc>
          <w:tcPr>
            <w:tcW w:w="1838" w:type="dxa"/>
            <w:shd w:val="clear" w:color="auto" w:fill="FFFFFF" w:themeFill="background1"/>
          </w:tcPr>
          <w:p w14:paraId="566B3CC0" w14:textId="1D8F8704" w:rsidR="00955EF7" w:rsidRPr="001E55CC" w:rsidRDefault="00955EF7" w:rsidP="00955EF7">
            <w:pPr>
              <w:rPr>
                <w:sz w:val="18"/>
                <w:szCs w:val="18"/>
              </w:rPr>
            </w:pPr>
            <w:r w:rsidRPr="001E55CC">
              <w:rPr>
                <w:sz w:val="18"/>
                <w:szCs w:val="18"/>
              </w:rPr>
              <w:t>Number of complaints per 1,000 connections to a public water reticulation network about the clarity of drinking water.</w:t>
            </w:r>
          </w:p>
        </w:tc>
        <w:tc>
          <w:tcPr>
            <w:tcW w:w="1361" w:type="dxa"/>
            <w:shd w:val="clear" w:color="auto" w:fill="FFFFFF" w:themeFill="background1"/>
          </w:tcPr>
          <w:p w14:paraId="6B0678A0" w14:textId="263B6AE3" w:rsidR="00955EF7" w:rsidRPr="001E55CC" w:rsidRDefault="00955EF7" w:rsidP="00955EF7">
            <w:pPr>
              <w:rPr>
                <w:sz w:val="18"/>
                <w:szCs w:val="18"/>
              </w:rPr>
            </w:pPr>
            <w:r w:rsidRPr="001E55CC">
              <w:rPr>
                <w:sz w:val="18"/>
                <w:szCs w:val="18"/>
              </w:rPr>
              <w:t>0.7</w:t>
            </w:r>
          </w:p>
        </w:tc>
        <w:tc>
          <w:tcPr>
            <w:tcW w:w="1361" w:type="dxa"/>
            <w:shd w:val="clear" w:color="auto" w:fill="FFFFFF" w:themeFill="background1"/>
          </w:tcPr>
          <w:p w14:paraId="724E7B06" w14:textId="5080566A" w:rsidR="00955EF7" w:rsidRPr="001E55CC" w:rsidRDefault="00955EF7" w:rsidP="00955EF7">
            <w:pPr>
              <w:rPr>
                <w:sz w:val="18"/>
                <w:szCs w:val="18"/>
              </w:rPr>
            </w:pPr>
            <w:r w:rsidRPr="001E55CC">
              <w:rPr>
                <w:sz w:val="18"/>
                <w:szCs w:val="18"/>
              </w:rPr>
              <w:t>&lt;4</w:t>
            </w:r>
          </w:p>
        </w:tc>
        <w:tc>
          <w:tcPr>
            <w:tcW w:w="1361" w:type="dxa"/>
            <w:shd w:val="clear" w:color="auto" w:fill="FFFFFF" w:themeFill="background1"/>
          </w:tcPr>
          <w:p w14:paraId="47D27A68" w14:textId="667FF314" w:rsidR="00955EF7" w:rsidRPr="001E55CC" w:rsidRDefault="00955EF7" w:rsidP="00955EF7">
            <w:pPr>
              <w:rPr>
                <w:sz w:val="18"/>
                <w:szCs w:val="18"/>
              </w:rPr>
            </w:pPr>
            <w:r w:rsidRPr="001E55CC">
              <w:rPr>
                <w:sz w:val="18"/>
                <w:szCs w:val="18"/>
              </w:rPr>
              <w:t>0.8</w:t>
            </w:r>
          </w:p>
        </w:tc>
        <w:tc>
          <w:tcPr>
            <w:tcW w:w="3651" w:type="dxa"/>
            <w:shd w:val="clear" w:color="auto" w:fill="FFFFFF" w:themeFill="background1"/>
          </w:tcPr>
          <w:p w14:paraId="295FD5E3" w14:textId="77777777" w:rsidR="00955EF7" w:rsidRPr="001E55CC" w:rsidRDefault="00955EF7" w:rsidP="00955EF7">
            <w:pPr>
              <w:rPr>
                <w:rFonts w:cs="HelveticaNeueLT Std"/>
                <w:b/>
                <w:bCs/>
                <w:sz w:val="18"/>
                <w:szCs w:val="18"/>
              </w:rPr>
            </w:pPr>
            <w:r w:rsidRPr="001E55CC">
              <w:rPr>
                <w:rFonts w:cs="HelveticaNeueLT Std"/>
                <w:b/>
                <w:bCs/>
                <w:sz w:val="18"/>
                <w:szCs w:val="18"/>
              </w:rPr>
              <w:t>Target achieved.</w:t>
            </w:r>
          </w:p>
          <w:p w14:paraId="70AED0E7" w14:textId="5C9D2707" w:rsidR="00955EF7" w:rsidRPr="001E55CC" w:rsidRDefault="00955EF7" w:rsidP="00955EF7">
            <w:pPr>
              <w:rPr>
                <w:rFonts w:cs="HelveticaNeueLT Std"/>
                <w:b/>
                <w:bCs/>
                <w:sz w:val="18"/>
                <w:szCs w:val="18"/>
              </w:rPr>
            </w:pPr>
            <w:r w:rsidRPr="001E55CC">
              <w:rPr>
                <w:rFonts w:cs="HelveticaNeueLT Std"/>
                <w:sz w:val="18"/>
                <w:szCs w:val="18"/>
              </w:rPr>
              <w:t>The target of less than four water supply complaints per 1,000 connections was achieved for all categories except for pressure complaints. Performance is consistent with previous years.</w:t>
            </w:r>
          </w:p>
        </w:tc>
      </w:tr>
      <w:tr w:rsidR="00955EF7" w:rsidRPr="00E641B6" w14:paraId="4FCB1EC6" w14:textId="77777777" w:rsidTr="00B738E2">
        <w:trPr>
          <w:cantSplit/>
          <w:trHeight w:val="15"/>
        </w:trPr>
        <w:tc>
          <w:tcPr>
            <w:tcW w:w="1838" w:type="dxa"/>
            <w:shd w:val="clear" w:color="auto" w:fill="FFFFFF" w:themeFill="background1"/>
          </w:tcPr>
          <w:p w14:paraId="347429D1" w14:textId="559D268C" w:rsidR="00955EF7" w:rsidRPr="001E55CC" w:rsidRDefault="00955EF7" w:rsidP="00955EF7">
            <w:pPr>
              <w:rPr>
                <w:sz w:val="18"/>
                <w:szCs w:val="18"/>
              </w:rPr>
            </w:pPr>
            <w:r w:rsidRPr="001E55CC">
              <w:rPr>
                <w:sz w:val="18"/>
                <w:szCs w:val="18"/>
              </w:rPr>
              <w:t>Number of complaints per 1,000 connections to a public water reticulation network about the taste of drinking water.</w:t>
            </w:r>
          </w:p>
        </w:tc>
        <w:tc>
          <w:tcPr>
            <w:tcW w:w="1361" w:type="dxa"/>
            <w:shd w:val="clear" w:color="auto" w:fill="FFFFFF" w:themeFill="background1"/>
          </w:tcPr>
          <w:p w14:paraId="6774FD48" w14:textId="08DCB25D" w:rsidR="00955EF7" w:rsidRPr="001E55CC" w:rsidRDefault="00955EF7" w:rsidP="00955EF7">
            <w:pPr>
              <w:rPr>
                <w:sz w:val="18"/>
                <w:szCs w:val="18"/>
              </w:rPr>
            </w:pPr>
            <w:r w:rsidRPr="001E55CC">
              <w:rPr>
                <w:sz w:val="18"/>
                <w:szCs w:val="18"/>
              </w:rPr>
              <w:t>0.07</w:t>
            </w:r>
          </w:p>
        </w:tc>
        <w:tc>
          <w:tcPr>
            <w:tcW w:w="1361" w:type="dxa"/>
            <w:shd w:val="clear" w:color="auto" w:fill="FFFFFF" w:themeFill="background1"/>
          </w:tcPr>
          <w:p w14:paraId="0E25A281" w14:textId="15B343AC" w:rsidR="00955EF7" w:rsidRPr="001E55CC" w:rsidRDefault="00955EF7" w:rsidP="00955EF7">
            <w:pPr>
              <w:rPr>
                <w:sz w:val="18"/>
                <w:szCs w:val="18"/>
              </w:rPr>
            </w:pPr>
            <w:r w:rsidRPr="001E55CC">
              <w:rPr>
                <w:sz w:val="18"/>
                <w:szCs w:val="18"/>
              </w:rPr>
              <w:t>&lt;4</w:t>
            </w:r>
          </w:p>
        </w:tc>
        <w:tc>
          <w:tcPr>
            <w:tcW w:w="1361" w:type="dxa"/>
            <w:shd w:val="clear" w:color="auto" w:fill="FFFFFF" w:themeFill="background1"/>
          </w:tcPr>
          <w:p w14:paraId="54D7DF31" w14:textId="1937E591" w:rsidR="00955EF7" w:rsidRPr="001E55CC" w:rsidRDefault="00955EF7" w:rsidP="00955EF7">
            <w:pPr>
              <w:rPr>
                <w:sz w:val="18"/>
                <w:szCs w:val="18"/>
              </w:rPr>
            </w:pPr>
            <w:r w:rsidRPr="001E55CC">
              <w:rPr>
                <w:sz w:val="18"/>
                <w:szCs w:val="18"/>
              </w:rPr>
              <w:t>0</w:t>
            </w:r>
          </w:p>
        </w:tc>
        <w:tc>
          <w:tcPr>
            <w:tcW w:w="3651" w:type="dxa"/>
            <w:shd w:val="clear" w:color="auto" w:fill="FFFFFF" w:themeFill="background1"/>
          </w:tcPr>
          <w:p w14:paraId="5A6566C3" w14:textId="77777777" w:rsidR="00955EF7" w:rsidRDefault="00955EF7" w:rsidP="00955EF7">
            <w:pPr>
              <w:rPr>
                <w:rFonts w:cs="HelveticaNeueLT Std"/>
                <w:b/>
                <w:bCs/>
                <w:sz w:val="18"/>
                <w:szCs w:val="18"/>
              </w:rPr>
            </w:pPr>
            <w:r w:rsidRPr="001E55CC">
              <w:rPr>
                <w:rFonts w:cs="HelveticaNeueLT Std"/>
                <w:b/>
                <w:bCs/>
                <w:sz w:val="18"/>
                <w:szCs w:val="18"/>
              </w:rPr>
              <w:t>Target achieved.</w:t>
            </w:r>
          </w:p>
          <w:p w14:paraId="789A3AB5" w14:textId="7C84E93A" w:rsidR="0057269A" w:rsidRPr="0057269A" w:rsidRDefault="0057269A" w:rsidP="00955EF7">
            <w:pPr>
              <w:rPr>
                <w:rFonts w:cs="HelveticaNeueLT Std"/>
                <w:sz w:val="18"/>
                <w:szCs w:val="18"/>
                <w:lang w:val="en-GB"/>
              </w:rPr>
            </w:pPr>
            <w:r w:rsidRPr="0057269A">
              <w:rPr>
                <w:rFonts w:cs="HelveticaNeueLT Std"/>
                <w:sz w:val="18"/>
                <w:szCs w:val="18"/>
                <w:lang w:val="en-GB"/>
              </w:rPr>
              <w:t>No taste complaints.</w:t>
            </w:r>
          </w:p>
        </w:tc>
      </w:tr>
      <w:tr w:rsidR="001E55CC" w:rsidRPr="00E641B6" w14:paraId="0E657F37" w14:textId="77777777" w:rsidTr="00B738E2">
        <w:trPr>
          <w:cantSplit/>
          <w:trHeight w:val="15"/>
        </w:trPr>
        <w:tc>
          <w:tcPr>
            <w:tcW w:w="1838" w:type="dxa"/>
            <w:shd w:val="clear" w:color="auto" w:fill="FFFFFF" w:themeFill="background1"/>
          </w:tcPr>
          <w:p w14:paraId="281527D8" w14:textId="24FF42EC" w:rsidR="001E55CC" w:rsidRPr="001E55CC" w:rsidRDefault="001E55CC" w:rsidP="001E55CC">
            <w:pPr>
              <w:rPr>
                <w:sz w:val="18"/>
                <w:szCs w:val="18"/>
              </w:rPr>
            </w:pPr>
            <w:r w:rsidRPr="001E55CC">
              <w:rPr>
                <w:sz w:val="18"/>
                <w:szCs w:val="18"/>
              </w:rPr>
              <w:lastRenderedPageBreak/>
              <w:t>Number of complaints per 1,000 connections to a public water reticulation network about the odour of drinking water.</w:t>
            </w:r>
          </w:p>
        </w:tc>
        <w:tc>
          <w:tcPr>
            <w:tcW w:w="1361" w:type="dxa"/>
            <w:shd w:val="clear" w:color="auto" w:fill="FFFFFF" w:themeFill="background1"/>
          </w:tcPr>
          <w:p w14:paraId="4EA64A22" w14:textId="5D4F9B9D" w:rsidR="001E55CC" w:rsidRPr="001E55CC" w:rsidRDefault="001E55CC" w:rsidP="001E55CC">
            <w:pPr>
              <w:rPr>
                <w:sz w:val="18"/>
                <w:szCs w:val="18"/>
              </w:rPr>
            </w:pPr>
            <w:r w:rsidRPr="001E55CC">
              <w:rPr>
                <w:sz w:val="18"/>
                <w:szCs w:val="18"/>
              </w:rPr>
              <w:t>0.07</w:t>
            </w:r>
          </w:p>
        </w:tc>
        <w:tc>
          <w:tcPr>
            <w:tcW w:w="1361" w:type="dxa"/>
            <w:shd w:val="clear" w:color="auto" w:fill="FFFFFF" w:themeFill="background1"/>
          </w:tcPr>
          <w:p w14:paraId="5C76CAD3" w14:textId="0E3B5788" w:rsidR="001E55CC" w:rsidRPr="001E55CC" w:rsidRDefault="001E55CC" w:rsidP="001E55CC">
            <w:pPr>
              <w:rPr>
                <w:sz w:val="18"/>
                <w:szCs w:val="18"/>
              </w:rPr>
            </w:pPr>
            <w:r w:rsidRPr="001E55CC">
              <w:rPr>
                <w:sz w:val="18"/>
                <w:szCs w:val="18"/>
              </w:rPr>
              <w:t>&lt;4</w:t>
            </w:r>
          </w:p>
        </w:tc>
        <w:tc>
          <w:tcPr>
            <w:tcW w:w="1361" w:type="dxa"/>
            <w:shd w:val="clear" w:color="auto" w:fill="FFFFFF" w:themeFill="background1"/>
          </w:tcPr>
          <w:p w14:paraId="544FDDA3" w14:textId="41E69AD4" w:rsidR="001E55CC" w:rsidRPr="001E55CC" w:rsidRDefault="001E55CC" w:rsidP="001E55CC">
            <w:pPr>
              <w:rPr>
                <w:sz w:val="18"/>
                <w:szCs w:val="18"/>
              </w:rPr>
            </w:pPr>
            <w:r w:rsidRPr="001E55CC">
              <w:rPr>
                <w:sz w:val="18"/>
                <w:szCs w:val="18"/>
              </w:rPr>
              <w:t>0.09</w:t>
            </w:r>
          </w:p>
        </w:tc>
        <w:tc>
          <w:tcPr>
            <w:tcW w:w="3651" w:type="dxa"/>
            <w:shd w:val="clear" w:color="auto" w:fill="FFFFFF" w:themeFill="background1"/>
          </w:tcPr>
          <w:p w14:paraId="16F6A004" w14:textId="019A3ECD" w:rsidR="001E55CC" w:rsidRPr="001E55CC" w:rsidRDefault="001E55CC" w:rsidP="001E55CC">
            <w:pPr>
              <w:rPr>
                <w:rFonts w:cs="HelveticaNeueLT Std"/>
                <w:b/>
                <w:bCs/>
                <w:sz w:val="18"/>
                <w:szCs w:val="18"/>
              </w:rPr>
            </w:pPr>
            <w:r w:rsidRPr="001E55CC">
              <w:rPr>
                <w:rFonts w:cs="HelveticaNeueLT Std"/>
                <w:b/>
                <w:bCs/>
                <w:sz w:val="18"/>
                <w:szCs w:val="18"/>
              </w:rPr>
              <w:t>Target achieved.</w:t>
            </w:r>
          </w:p>
        </w:tc>
      </w:tr>
      <w:tr w:rsidR="001E55CC" w:rsidRPr="00E641B6" w14:paraId="542C7D30" w14:textId="77777777" w:rsidTr="00B738E2">
        <w:trPr>
          <w:cantSplit/>
          <w:trHeight w:val="15"/>
        </w:trPr>
        <w:tc>
          <w:tcPr>
            <w:tcW w:w="1838" w:type="dxa"/>
            <w:shd w:val="clear" w:color="auto" w:fill="FFFFFF" w:themeFill="background1"/>
          </w:tcPr>
          <w:p w14:paraId="0BAC110D" w14:textId="7D69F54C" w:rsidR="001E55CC" w:rsidRPr="001E55CC" w:rsidRDefault="001E55CC" w:rsidP="001E55CC">
            <w:pPr>
              <w:rPr>
                <w:sz w:val="18"/>
                <w:szCs w:val="18"/>
              </w:rPr>
            </w:pPr>
            <w:r w:rsidRPr="001E55CC">
              <w:rPr>
                <w:sz w:val="18"/>
                <w:szCs w:val="18"/>
              </w:rPr>
              <w:t>Number of complaints per 1,000 connections to a public water reticulation network about the pressure or flow of drinking water.</w:t>
            </w:r>
          </w:p>
        </w:tc>
        <w:tc>
          <w:tcPr>
            <w:tcW w:w="1361" w:type="dxa"/>
            <w:shd w:val="clear" w:color="auto" w:fill="FFFFFF" w:themeFill="background1"/>
          </w:tcPr>
          <w:p w14:paraId="6316CA0E" w14:textId="0D1D24B6" w:rsidR="001E55CC" w:rsidRPr="001E55CC" w:rsidRDefault="001E55CC" w:rsidP="001E55CC">
            <w:pPr>
              <w:rPr>
                <w:sz w:val="18"/>
                <w:szCs w:val="18"/>
              </w:rPr>
            </w:pPr>
            <w:r w:rsidRPr="001E55CC">
              <w:rPr>
                <w:sz w:val="18"/>
                <w:szCs w:val="18"/>
              </w:rPr>
              <w:t>4.36</w:t>
            </w:r>
          </w:p>
        </w:tc>
        <w:tc>
          <w:tcPr>
            <w:tcW w:w="1361" w:type="dxa"/>
            <w:shd w:val="clear" w:color="auto" w:fill="FFFFFF" w:themeFill="background1"/>
          </w:tcPr>
          <w:p w14:paraId="7C526CF9" w14:textId="14B51F24" w:rsidR="001E55CC" w:rsidRPr="001E55CC" w:rsidRDefault="001E55CC" w:rsidP="001E55CC">
            <w:pPr>
              <w:rPr>
                <w:sz w:val="18"/>
                <w:szCs w:val="18"/>
              </w:rPr>
            </w:pPr>
            <w:r w:rsidRPr="001E55CC">
              <w:rPr>
                <w:sz w:val="18"/>
                <w:szCs w:val="18"/>
              </w:rPr>
              <w:t>&lt;4</w:t>
            </w:r>
          </w:p>
        </w:tc>
        <w:tc>
          <w:tcPr>
            <w:tcW w:w="1361" w:type="dxa"/>
            <w:shd w:val="clear" w:color="auto" w:fill="FFFFFF" w:themeFill="background1"/>
          </w:tcPr>
          <w:p w14:paraId="012B9043" w14:textId="3DBBACF8" w:rsidR="001E55CC" w:rsidRPr="001E55CC" w:rsidRDefault="001E55CC" w:rsidP="001E55CC">
            <w:pPr>
              <w:rPr>
                <w:sz w:val="18"/>
                <w:szCs w:val="18"/>
              </w:rPr>
            </w:pPr>
            <w:r w:rsidRPr="001E55CC">
              <w:rPr>
                <w:sz w:val="18"/>
                <w:szCs w:val="18"/>
              </w:rPr>
              <w:t>4.52</w:t>
            </w:r>
          </w:p>
        </w:tc>
        <w:tc>
          <w:tcPr>
            <w:tcW w:w="3651" w:type="dxa"/>
            <w:shd w:val="clear" w:color="auto" w:fill="FFFFFF" w:themeFill="background1"/>
          </w:tcPr>
          <w:p w14:paraId="3CC0FAC4" w14:textId="77777777" w:rsidR="001E55CC" w:rsidRPr="001E55CC" w:rsidRDefault="001E55CC" w:rsidP="001E55CC">
            <w:pPr>
              <w:rPr>
                <w:rFonts w:cs="HelveticaNeueLT Std"/>
                <w:b/>
                <w:bCs/>
                <w:sz w:val="18"/>
                <w:szCs w:val="18"/>
              </w:rPr>
            </w:pPr>
            <w:r w:rsidRPr="001E55CC">
              <w:rPr>
                <w:rFonts w:cs="HelveticaNeueLT Std"/>
                <w:b/>
                <w:bCs/>
                <w:sz w:val="18"/>
                <w:szCs w:val="18"/>
              </w:rPr>
              <w:t>Target not achieved.</w:t>
            </w:r>
          </w:p>
          <w:p w14:paraId="7F49FAEE" w14:textId="7B0FF809" w:rsidR="001E55CC" w:rsidRPr="001E55CC" w:rsidRDefault="001E55CC" w:rsidP="001E55CC">
            <w:pPr>
              <w:rPr>
                <w:rFonts w:cs="HelveticaNeueLT Std"/>
                <w:sz w:val="18"/>
                <w:szCs w:val="18"/>
                <w:lang w:val="en-GB"/>
              </w:rPr>
            </w:pPr>
            <w:r w:rsidRPr="001E55CC">
              <w:rPr>
                <w:rFonts w:cs="HelveticaNeueLT Std"/>
                <w:sz w:val="18"/>
                <w:szCs w:val="18"/>
                <w:lang w:val="en-GB"/>
              </w:rPr>
              <w:t xml:space="preserve">Pressure complaints were elevated in the year largely due to lake algae contributing to private side blockages during the summer months on the lake fed schemes and an issue with low pressure in an area of </w:t>
            </w:r>
            <w:proofErr w:type="spellStart"/>
            <w:r w:rsidRPr="001E55CC">
              <w:rPr>
                <w:rFonts w:cs="HelveticaNeueLT Std"/>
                <w:sz w:val="18"/>
                <w:szCs w:val="18"/>
                <w:lang w:val="en-GB"/>
              </w:rPr>
              <w:t>Wānaka</w:t>
            </w:r>
            <w:proofErr w:type="spellEnd"/>
            <w:r w:rsidRPr="001E55CC">
              <w:rPr>
                <w:rFonts w:cs="HelveticaNeueLT Std"/>
                <w:sz w:val="18"/>
                <w:szCs w:val="18"/>
                <w:lang w:val="en-GB"/>
              </w:rPr>
              <w:t xml:space="preserve"> during periods of peak demand.</w:t>
            </w:r>
          </w:p>
        </w:tc>
      </w:tr>
      <w:tr w:rsidR="001E55CC" w:rsidRPr="00E641B6" w14:paraId="38855A17" w14:textId="77777777" w:rsidTr="00B738E2">
        <w:trPr>
          <w:cantSplit/>
          <w:trHeight w:val="15"/>
        </w:trPr>
        <w:tc>
          <w:tcPr>
            <w:tcW w:w="1838" w:type="dxa"/>
            <w:shd w:val="clear" w:color="auto" w:fill="FFFFFF" w:themeFill="background1"/>
          </w:tcPr>
          <w:p w14:paraId="30DCD585" w14:textId="44FE1028" w:rsidR="001E55CC" w:rsidRPr="001E55CC" w:rsidRDefault="001E55CC" w:rsidP="001E55CC">
            <w:pPr>
              <w:rPr>
                <w:sz w:val="18"/>
                <w:szCs w:val="18"/>
              </w:rPr>
            </w:pPr>
            <w:r w:rsidRPr="001E55CC">
              <w:rPr>
                <w:sz w:val="18"/>
                <w:szCs w:val="18"/>
              </w:rPr>
              <w:t>Number of complaints per 1,000 connections to a public water reticulation network about continuity of supply of drinking water.</w:t>
            </w:r>
          </w:p>
        </w:tc>
        <w:tc>
          <w:tcPr>
            <w:tcW w:w="1361" w:type="dxa"/>
            <w:shd w:val="clear" w:color="auto" w:fill="FFFFFF" w:themeFill="background1"/>
          </w:tcPr>
          <w:p w14:paraId="22F82F9A" w14:textId="6BD224B9" w:rsidR="001E55CC" w:rsidRPr="001E55CC" w:rsidRDefault="001E55CC" w:rsidP="001E55CC">
            <w:pPr>
              <w:rPr>
                <w:sz w:val="18"/>
                <w:szCs w:val="18"/>
              </w:rPr>
            </w:pPr>
            <w:r w:rsidRPr="001E55CC">
              <w:rPr>
                <w:sz w:val="18"/>
                <w:szCs w:val="18"/>
              </w:rPr>
              <w:t>2.8</w:t>
            </w:r>
          </w:p>
        </w:tc>
        <w:tc>
          <w:tcPr>
            <w:tcW w:w="1361" w:type="dxa"/>
            <w:shd w:val="clear" w:color="auto" w:fill="FFFFFF" w:themeFill="background1"/>
          </w:tcPr>
          <w:p w14:paraId="2646EA15" w14:textId="29FC08D5" w:rsidR="001E55CC" w:rsidRPr="001E55CC" w:rsidRDefault="001E55CC" w:rsidP="001E55CC">
            <w:pPr>
              <w:rPr>
                <w:sz w:val="18"/>
                <w:szCs w:val="18"/>
              </w:rPr>
            </w:pPr>
            <w:r w:rsidRPr="001E55CC">
              <w:rPr>
                <w:sz w:val="18"/>
                <w:szCs w:val="18"/>
              </w:rPr>
              <w:t>&lt;4</w:t>
            </w:r>
          </w:p>
        </w:tc>
        <w:tc>
          <w:tcPr>
            <w:tcW w:w="1361" w:type="dxa"/>
            <w:shd w:val="clear" w:color="auto" w:fill="FFFFFF" w:themeFill="background1"/>
          </w:tcPr>
          <w:p w14:paraId="098EF7E1" w14:textId="1C05C132" w:rsidR="001E55CC" w:rsidRPr="001E55CC" w:rsidRDefault="001E55CC" w:rsidP="001E55CC">
            <w:pPr>
              <w:rPr>
                <w:sz w:val="18"/>
                <w:szCs w:val="18"/>
              </w:rPr>
            </w:pPr>
            <w:r w:rsidRPr="001E55CC">
              <w:rPr>
                <w:sz w:val="18"/>
                <w:szCs w:val="18"/>
              </w:rPr>
              <w:t>3.01</w:t>
            </w:r>
          </w:p>
        </w:tc>
        <w:tc>
          <w:tcPr>
            <w:tcW w:w="3651" w:type="dxa"/>
            <w:shd w:val="clear" w:color="auto" w:fill="FFFFFF" w:themeFill="background1"/>
          </w:tcPr>
          <w:p w14:paraId="4CC83AD2" w14:textId="33A2B245" w:rsidR="001E55CC" w:rsidRPr="001E55CC" w:rsidRDefault="001E55CC" w:rsidP="001E55CC">
            <w:pPr>
              <w:rPr>
                <w:rFonts w:cs="HelveticaNeueLT Std"/>
                <w:b/>
                <w:bCs/>
                <w:sz w:val="18"/>
                <w:szCs w:val="18"/>
              </w:rPr>
            </w:pPr>
            <w:r w:rsidRPr="001E55CC">
              <w:rPr>
                <w:rFonts w:cs="HelveticaNeueLT Std"/>
                <w:b/>
                <w:bCs/>
                <w:sz w:val="18"/>
                <w:szCs w:val="18"/>
              </w:rPr>
              <w:t>Target achieved.</w:t>
            </w:r>
          </w:p>
        </w:tc>
      </w:tr>
      <w:tr w:rsidR="001E55CC" w:rsidRPr="00E641B6" w14:paraId="235E5C4D" w14:textId="77777777" w:rsidTr="00B738E2">
        <w:trPr>
          <w:cantSplit/>
          <w:trHeight w:val="15"/>
        </w:trPr>
        <w:tc>
          <w:tcPr>
            <w:tcW w:w="1838" w:type="dxa"/>
            <w:shd w:val="clear" w:color="auto" w:fill="FFFFFF" w:themeFill="background1"/>
          </w:tcPr>
          <w:p w14:paraId="6A980633" w14:textId="3399CF06" w:rsidR="001E55CC" w:rsidRPr="001E55CC" w:rsidRDefault="001E55CC" w:rsidP="001E55CC">
            <w:pPr>
              <w:rPr>
                <w:sz w:val="18"/>
                <w:szCs w:val="18"/>
              </w:rPr>
            </w:pPr>
            <w:r w:rsidRPr="001E55CC">
              <w:rPr>
                <w:sz w:val="18"/>
                <w:szCs w:val="18"/>
              </w:rPr>
              <w:t>Number of complaints per 1,000 connections to a public water reticulation network about the way in which a local government organisation responds to issues with a water supply.</w:t>
            </w:r>
          </w:p>
        </w:tc>
        <w:tc>
          <w:tcPr>
            <w:tcW w:w="1361" w:type="dxa"/>
            <w:shd w:val="clear" w:color="auto" w:fill="FFFFFF" w:themeFill="background1"/>
          </w:tcPr>
          <w:p w14:paraId="6532BC2D" w14:textId="77D30A25" w:rsidR="001E55CC" w:rsidRPr="001E55CC" w:rsidRDefault="001E55CC" w:rsidP="001E55CC">
            <w:pPr>
              <w:rPr>
                <w:sz w:val="18"/>
                <w:szCs w:val="18"/>
              </w:rPr>
            </w:pPr>
            <w:r w:rsidRPr="001E55CC">
              <w:rPr>
                <w:sz w:val="18"/>
                <w:szCs w:val="18"/>
              </w:rPr>
              <w:t>0</w:t>
            </w:r>
          </w:p>
        </w:tc>
        <w:tc>
          <w:tcPr>
            <w:tcW w:w="1361" w:type="dxa"/>
            <w:shd w:val="clear" w:color="auto" w:fill="FFFFFF" w:themeFill="background1"/>
          </w:tcPr>
          <w:p w14:paraId="6669E888" w14:textId="0BF794EA" w:rsidR="001E55CC" w:rsidRPr="001E55CC" w:rsidRDefault="001E55CC" w:rsidP="001E55CC">
            <w:pPr>
              <w:rPr>
                <w:sz w:val="18"/>
                <w:szCs w:val="18"/>
              </w:rPr>
            </w:pPr>
            <w:r w:rsidRPr="001E55CC">
              <w:rPr>
                <w:sz w:val="18"/>
                <w:szCs w:val="18"/>
              </w:rPr>
              <w:t>&lt;1</w:t>
            </w:r>
          </w:p>
        </w:tc>
        <w:tc>
          <w:tcPr>
            <w:tcW w:w="1361" w:type="dxa"/>
            <w:shd w:val="clear" w:color="auto" w:fill="FFFFFF" w:themeFill="background1"/>
          </w:tcPr>
          <w:p w14:paraId="080A8F9D" w14:textId="2C9A8A53" w:rsidR="001E55CC" w:rsidRPr="001E55CC" w:rsidRDefault="001E55CC" w:rsidP="001E55CC">
            <w:pPr>
              <w:rPr>
                <w:sz w:val="18"/>
                <w:szCs w:val="18"/>
              </w:rPr>
            </w:pPr>
            <w:r w:rsidRPr="001E55CC">
              <w:rPr>
                <w:sz w:val="18"/>
                <w:szCs w:val="18"/>
              </w:rPr>
              <w:t>0</w:t>
            </w:r>
          </w:p>
        </w:tc>
        <w:tc>
          <w:tcPr>
            <w:tcW w:w="3651" w:type="dxa"/>
            <w:shd w:val="clear" w:color="auto" w:fill="FFFFFF" w:themeFill="background1"/>
          </w:tcPr>
          <w:p w14:paraId="18342439" w14:textId="5606F471" w:rsidR="001E55CC" w:rsidRPr="001E55CC" w:rsidRDefault="001E55CC" w:rsidP="001E55CC">
            <w:pPr>
              <w:rPr>
                <w:rFonts w:cs="HelveticaNeueLT Std"/>
                <w:b/>
                <w:bCs/>
                <w:sz w:val="18"/>
                <w:szCs w:val="18"/>
              </w:rPr>
            </w:pPr>
            <w:r w:rsidRPr="001E55CC">
              <w:rPr>
                <w:rFonts w:cs="HelveticaNeueLT Std"/>
                <w:b/>
                <w:bCs/>
                <w:sz w:val="18"/>
                <w:szCs w:val="18"/>
              </w:rPr>
              <w:t>Target achieved.</w:t>
            </w:r>
          </w:p>
        </w:tc>
      </w:tr>
      <w:tr w:rsidR="001E55CC" w:rsidRPr="00E641B6" w14:paraId="049E730D" w14:textId="77777777" w:rsidTr="00B738E2">
        <w:trPr>
          <w:cantSplit/>
          <w:trHeight w:val="15"/>
        </w:trPr>
        <w:tc>
          <w:tcPr>
            <w:tcW w:w="1838" w:type="dxa"/>
            <w:shd w:val="clear" w:color="auto" w:fill="FFFFFF" w:themeFill="background1"/>
          </w:tcPr>
          <w:p w14:paraId="30090EC1" w14:textId="3FB95284" w:rsidR="001E55CC" w:rsidRPr="001E55CC" w:rsidRDefault="001E55CC" w:rsidP="001E55CC">
            <w:pPr>
              <w:rPr>
                <w:sz w:val="18"/>
                <w:szCs w:val="18"/>
              </w:rPr>
            </w:pPr>
            <w:r w:rsidRPr="001E55CC">
              <w:rPr>
                <w:sz w:val="18"/>
                <w:szCs w:val="18"/>
              </w:rPr>
              <w:t>Percentage of external contractor and internal RFS resolved within specified timeframe - three waters.</w:t>
            </w:r>
          </w:p>
        </w:tc>
        <w:tc>
          <w:tcPr>
            <w:tcW w:w="1361" w:type="dxa"/>
            <w:shd w:val="clear" w:color="auto" w:fill="FFFFFF" w:themeFill="background1"/>
          </w:tcPr>
          <w:p w14:paraId="6687BCA1" w14:textId="439F6CEB" w:rsidR="001E55CC" w:rsidRPr="001E55CC" w:rsidRDefault="001E55CC" w:rsidP="001E55CC">
            <w:pPr>
              <w:rPr>
                <w:sz w:val="18"/>
                <w:szCs w:val="18"/>
              </w:rPr>
            </w:pPr>
            <w:r w:rsidRPr="001E55CC">
              <w:rPr>
                <w:sz w:val="18"/>
                <w:szCs w:val="18"/>
              </w:rPr>
              <w:t>71%</w:t>
            </w:r>
          </w:p>
        </w:tc>
        <w:tc>
          <w:tcPr>
            <w:tcW w:w="1361" w:type="dxa"/>
            <w:shd w:val="clear" w:color="auto" w:fill="FFFFFF" w:themeFill="background1"/>
          </w:tcPr>
          <w:p w14:paraId="005C6760" w14:textId="56223A7A" w:rsidR="001E55CC" w:rsidRPr="001E55CC" w:rsidRDefault="001E55CC" w:rsidP="001E55CC">
            <w:pPr>
              <w:rPr>
                <w:sz w:val="18"/>
                <w:szCs w:val="18"/>
              </w:rPr>
            </w:pPr>
            <w:r w:rsidRPr="001E55CC">
              <w:rPr>
                <w:sz w:val="18"/>
                <w:szCs w:val="18"/>
              </w:rPr>
              <w:t>&gt;95%</w:t>
            </w:r>
          </w:p>
        </w:tc>
        <w:tc>
          <w:tcPr>
            <w:tcW w:w="1361" w:type="dxa"/>
            <w:shd w:val="clear" w:color="auto" w:fill="FFFFFF" w:themeFill="background1"/>
          </w:tcPr>
          <w:p w14:paraId="73F67D27" w14:textId="7A2A429E" w:rsidR="001E55CC" w:rsidRPr="001E55CC" w:rsidRDefault="001E55CC" w:rsidP="001E55CC">
            <w:pPr>
              <w:rPr>
                <w:sz w:val="18"/>
                <w:szCs w:val="18"/>
              </w:rPr>
            </w:pPr>
            <w:r w:rsidRPr="001E55CC">
              <w:rPr>
                <w:sz w:val="18"/>
                <w:szCs w:val="18"/>
              </w:rPr>
              <w:t>75.2%</w:t>
            </w:r>
          </w:p>
        </w:tc>
        <w:tc>
          <w:tcPr>
            <w:tcW w:w="3651" w:type="dxa"/>
            <w:shd w:val="clear" w:color="auto" w:fill="FFFFFF" w:themeFill="background1"/>
          </w:tcPr>
          <w:p w14:paraId="5AD865E0" w14:textId="77777777" w:rsidR="001E55CC" w:rsidRPr="001E55CC" w:rsidRDefault="001E55CC" w:rsidP="001E55CC">
            <w:pPr>
              <w:rPr>
                <w:rFonts w:cs="HelveticaNeueLT Std"/>
                <w:b/>
                <w:bCs/>
                <w:sz w:val="18"/>
                <w:szCs w:val="18"/>
              </w:rPr>
            </w:pPr>
            <w:r w:rsidRPr="001E55CC">
              <w:rPr>
                <w:rFonts w:cs="HelveticaNeueLT Std"/>
                <w:b/>
                <w:bCs/>
                <w:sz w:val="18"/>
                <w:szCs w:val="18"/>
              </w:rPr>
              <w:t>Target not achieved.</w:t>
            </w:r>
          </w:p>
          <w:p w14:paraId="522C329C" w14:textId="6D0AD38C" w:rsidR="001E55CC" w:rsidRPr="001E55CC" w:rsidRDefault="001E55CC" w:rsidP="001E55CC">
            <w:pPr>
              <w:rPr>
                <w:sz w:val="18"/>
                <w:szCs w:val="18"/>
              </w:rPr>
            </w:pPr>
            <w:r w:rsidRPr="001E55CC">
              <w:rPr>
                <w:sz w:val="18"/>
                <w:szCs w:val="18"/>
              </w:rPr>
              <w:t xml:space="preserve">75.2% of Three Waters RFS were resolved on time in 2024-2025. There </w:t>
            </w:r>
            <w:proofErr w:type="gramStart"/>
            <w:r w:rsidRPr="001E55CC">
              <w:rPr>
                <w:sz w:val="18"/>
                <w:szCs w:val="18"/>
              </w:rPr>
              <w:t>were</w:t>
            </w:r>
            <w:proofErr w:type="gramEnd"/>
            <w:r w:rsidRPr="001E55CC">
              <w:rPr>
                <w:sz w:val="18"/>
                <w:szCs w:val="18"/>
              </w:rPr>
              <w:t xml:space="preserve"> a total of 3,085 requests received for Three Waters, of which 766 were not resolved within the target timeframes. The number of requests received in 2024-2025 was approximately 10% lower than the previous year. This year’s performance is </w:t>
            </w:r>
            <w:proofErr w:type="gramStart"/>
            <w:r w:rsidRPr="001E55CC">
              <w:rPr>
                <w:sz w:val="18"/>
                <w:szCs w:val="18"/>
              </w:rPr>
              <w:t>similar to</w:t>
            </w:r>
            <w:proofErr w:type="gramEnd"/>
            <w:r w:rsidRPr="001E55CC">
              <w:rPr>
                <w:sz w:val="18"/>
                <w:szCs w:val="18"/>
              </w:rPr>
              <w:t xml:space="preserve"> the previous year and does not achieve the target set. Contractor resourcing has continued to be a challenge across the year impacting their responsiveness to issues raised.</w:t>
            </w:r>
          </w:p>
        </w:tc>
      </w:tr>
    </w:tbl>
    <w:p w14:paraId="3CC3149E" w14:textId="77777777" w:rsidR="00566819" w:rsidRPr="00E641B6" w:rsidRDefault="00566819">
      <w:pPr>
        <w:rPr>
          <w:sz w:val="24"/>
          <w:lang w:val="en-GB"/>
        </w:rPr>
      </w:pPr>
      <w:r w:rsidRPr="00E641B6">
        <w:rPr>
          <w:sz w:val="24"/>
          <w:lang w:val="en-GB"/>
        </w:rPr>
        <w:br w:type="page"/>
      </w:r>
    </w:p>
    <w:p w14:paraId="707A281D" w14:textId="3D4D30E4" w:rsidR="00566819" w:rsidRDefault="0027615E" w:rsidP="0027615E">
      <w:pPr>
        <w:pStyle w:val="Heading2"/>
        <w:rPr>
          <w:lang w:val="en-GB"/>
        </w:rPr>
      </w:pPr>
      <w:bookmarkStart w:id="35" w:name="_Toc211422647"/>
      <w:r w:rsidRPr="0027615E">
        <w:rPr>
          <w:lang w:val="en-GB"/>
        </w:rPr>
        <w:lastRenderedPageBreak/>
        <w:t xml:space="preserve">Wastewater </w:t>
      </w:r>
      <w:r>
        <w:rPr>
          <w:lang w:val="en-GB"/>
        </w:rPr>
        <w:t xml:space="preserve">| </w:t>
      </w:r>
      <w:proofErr w:type="spellStart"/>
      <w:r w:rsidRPr="0027615E">
        <w:rPr>
          <w:lang w:val="en-GB"/>
        </w:rPr>
        <w:t>Waipara</w:t>
      </w:r>
      <w:bookmarkEnd w:id="35"/>
      <w:proofErr w:type="spellEnd"/>
    </w:p>
    <w:p w14:paraId="1961D02E" w14:textId="77777777" w:rsidR="00566819" w:rsidRPr="007B27E4" w:rsidRDefault="00566819" w:rsidP="00566819">
      <w:pPr>
        <w:pStyle w:val="Heading3"/>
      </w:pPr>
      <w:bookmarkStart w:id="36" w:name="_Toc211422648"/>
      <w:r w:rsidRPr="007B27E4">
        <w:t>How we performed</w:t>
      </w:r>
      <w:bookmarkEnd w:id="36"/>
    </w:p>
    <w:p w14:paraId="587C4110" w14:textId="77777777" w:rsidR="00566819" w:rsidRPr="00E641B6" w:rsidRDefault="00566819" w:rsidP="00566819">
      <w:pPr>
        <w:rPr>
          <w:sz w:val="24"/>
          <w:lang w:val="en-GB"/>
        </w:rPr>
      </w:pPr>
      <w:r w:rsidRPr="00E641B6">
        <w:rPr>
          <w:sz w:val="24"/>
          <w:lang w:val="en-GB"/>
        </w:rPr>
        <w:t>How QLDC performed against its Key Performance Indicators (KPIs).</w:t>
      </w:r>
    </w:p>
    <w:tbl>
      <w:tblPr>
        <w:tblStyle w:val="TableGrid"/>
        <w:tblW w:w="9572" w:type="dxa"/>
        <w:tblLayout w:type="fixed"/>
        <w:tblCellMar>
          <w:top w:w="115" w:type="dxa"/>
          <w:bottom w:w="115" w:type="dxa"/>
        </w:tblCellMar>
        <w:tblLook w:val="04A0" w:firstRow="1" w:lastRow="0" w:firstColumn="1" w:lastColumn="0" w:noHBand="0" w:noVBand="1"/>
      </w:tblPr>
      <w:tblGrid>
        <w:gridCol w:w="1838"/>
        <w:gridCol w:w="1361"/>
        <w:gridCol w:w="1361"/>
        <w:gridCol w:w="1361"/>
        <w:gridCol w:w="3651"/>
      </w:tblGrid>
      <w:tr w:rsidR="00566819" w:rsidRPr="00E641B6" w14:paraId="70732836" w14:textId="77777777" w:rsidTr="00B738E2">
        <w:trPr>
          <w:cantSplit/>
        </w:trPr>
        <w:tc>
          <w:tcPr>
            <w:tcW w:w="1838" w:type="dxa"/>
            <w:shd w:val="clear" w:color="auto" w:fill="BFBFBF" w:themeFill="background1" w:themeFillShade="BF"/>
          </w:tcPr>
          <w:p w14:paraId="31D8E02D" w14:textId="77777777" w:rsidR="00566819" w:rsidRPr="0057269A" w:rsidRDefault="00566819" w:rsidP="00B738E2">
            <w:pPr>
              <w:rPr>
                <w:b/>
                <w:bCs/>
                <w:sz w:val="18"/>
                <w:szCs w:val="18"/>
                <w:lang w:val="en-US"/>
              </w:rPr>
            </w:pPr>
            <w:r w:rsidRPr="0057269A">
              <w:rPr>
                <w:sz w:val="18"/>
                <w:szCs w:val="18"/>
              </w:rPr>
              <w:t>KPIs</w:t>
            </w:r>
          </w:p>
        </w:tc>
        <w:tc>
          <w:tcPr>
            <w:tcW w:w="1361" w:type="dxa"/>
            <w:shd w:val="clear" w:color="auto" w:fill="BFBFBF" w:themeFill="background1" w:themeFillShade="BF"/>
          </w:tcPr>
          <w:p w14:paraId="681CDE42" w14:textId="77777777" w:rsidR="00566819" w:rsidRPr="0057269A" w:rsidRDefault="00566819" w:rsidP="00B738E2">
            <w:pPr>
              <w:rPr>
                <w:b/>
                <w:bCs/>
                <w:sz w:val="18"/>
                <w:szCs w:val="18"/>
                <w:lang w:val="en-US"/>
              </w:rPr>
            </w:pPr>
            <w:r w:rsidRPr="0057269A">
              <w:rPr>
                <w:sz w:val="18"/>
                <w:szCs w:val="18"/>
              </w:rPr>
              <w:t xml:space="preserve">Baseline Performance </w:t>
            </w:r>
            <w:proofErr w:type="gramStart"/>
            <w:r w:rsidRPr="0057269A">
              <w:rPr>
                <w:sz w:val="18"/>
                <w:szCs w:val="18"/>
              </w:rPr>
              <w:t>at</w:t>
            </w:r>
            <w:proofErr w:type="gramEnd"/>
            <w:r w:rsidRPr="0057269A">
              <w:rPr>
                <w:sz w:val="18"/>
                <w:szCs w:val="18"/>
              </w:rPr>
              <w:t xml:space="preserve"> 30 June 2024</w:t>
            </w:r>
          </w:p>
        </w:tc>
        <w:tc>
          <w:tcPr>
            <w:tcW w:w="1361" w:type="dxa"/>
            <w:shd w:val="clear" w:color="auto" w:fill="BFBFBF" w:themeFill="background1" w:themeFillShade="BF"/>
          </w:tcPr>
          <w:p w14:paraId="368787DB" w14:textId="77777777" w:rsidR="00566819" w:rsidRPr="0057269A" w:rsidRDefault="00566819" w:rsidP="00B738E2">
            <w:pPr>
              <w:rPr>
                <w:b/>
                <w:bCs/>
                <w:sz w:val="18"/>
                <w:szCs w:val="18"/>
                <w:lang w:val="en-US"/>
              </w:rPr>
            </w:pPr>
            <w:r w:rsidRPr="0057269A">
              <w:rPr>
                <w:sz w:val="18"/>
                <w:szCs w:val="18"/>
              </w:rPr>
              <w:t>Target for Year 1 of LTP 24-34</w:t>
            </w:r>
          </w:p>
        </w:tc>
        <w:tc>
          <w:tcPr>
            <w:tcW w:w="1361" w:type="dxa"/>
            <w:shd w:val="clear" w:color="auto" w:fill="BFBFBF" w:themeFill="background1" w:themeFillShade="BF"/>
          </w:tcPr>
          <w:p w14:paraId="0873BC65" w14:textId="77777777" w:rsidR="00566819" w:rsidRPr="0057269A" w:rsidRDefault="00566819" w:rsidP="00B738E2">
            <w:pPr>
              <w:rPr>
                <w:b/>
                <w:bCs/>
                <w:sz w:val="18"/>
                <w:szCs w:val="18"/>
                <w:lang w:val="en-US"/>
              </w:rPr>
            </w:pPr>
            <w:r w:rsidRPr="0057269A">
              <w:rPr>
                <w:sz w:val="18"/>
                <w:szCs w:val="18"/>
              </w:rPr>
              <w:t>Annual Result 2024-2025</w:t>
            </w:r>
          </w:p>
        </w:tc>
        <w:tc>
          <w:tcPr>
            <w:tcW w:w="3651" w:type="dxa"/>
            <w:shd w:val="clear" w:color="auto" w:fill="BFBFBF" w:themeFill="background1" w:themeFillShade="BF"/>
          </w:tcPr>
          <w:p w14:paraId="5B0F2E61" w14:textId="77777777" w:rsidR="00566819" w:rsidRPr="0057269A" w:rsidRDefault="00566819" w:rsidP="00B738E2">
            <w:pPr>
              <w:rPr>
                <w:b/>
                <w:bCs/>
                <w:sz w:val="18"/>
                <w:szCs w:val="18"/>
                <w:lang w:val="en-US"/>
              </w:rPr>
            </w:pPr>
            <w:r w:rsidRPr="0057269A">
              <w:rPr>
                <w:sz w:val="18"/>
                <w:szCs w:val="18"/>
              </w:rPr>
              <w:t>Commentary</w:t>
            </w:r>
          </w:p>
        </w:tc>
      </w:tr>
      <w:tr w:rsidR="0027615E" w:rsidRPr="00E641B6" w14:paraId="107CDA84" w14:textId="77777777" w:rsidTr="00B738E2">
        <w:trPr>
          <w:cantSplit/>
          <w:trHeight w:val="15"/>
        </w:trPr>
        <w:tc>
          <w:tcPr>
            <w:tcW w:w="1838" w:type="dxa"/>
            <w:shd w:val="clear" w:color="auto" w:fill="FFFFFF" w:themeFill="background1"/>
          </w:tcPr>
          <w:p w14:paraId="0CDA8BD1" w14:textId="505C4EA6" w:rsidR="0027615E" w:rsidRPr="0057269A" w:rsidRDefault="0027615E" w:rsidP="0027615E">
            <w:pPr>
              <w:rPr>
                <w:rFonts w:cs="HelveticaNeueLT Std"/>
                <w:sz w:val="18"/>
                <w:szCs w:val="18"/>
              </w:rPr>
            </w:pPr>
            <w:r w:rsidRPr="0057269A">
              <w:rPr>
                <w:sz w:val="18"/>
                <w:szCs w:val="18"/>
              </w:rPr>
              <w:t>Median response time to attend to sewerage overflows resulting from blockages or other faults of a municipal sewerage system a) between the time of notification and the time when service personnel reach the site.</w:t>
            </w:r>
          </w:p>
        </w:tc>
        <w:tc>
          <w:tcPr>
            <w:tcW w:w="1361" w:type="dxa"/>
            <w:shd w:val="clear" w:color="auto" w:fill="FFFFFF" w:themeFill="background1"/>
          </w:tcPr>
          <w:p w14:paraId="37328F7E" w14:textId="00420EB9" w:rsidR="0027615E" w:rsidRPr="0057269A" w:rsidRDefault="0027615E" w:rsidP="0027615E">
            <w:pPr>
              <w:rPr>
                <w:rFonts w:cs="HelveticaNeueLT Std"/>
                <w:sz w:val="18"/>
                <w:szCs w:val="18"/>
              </w:rPr>
            </w:pPr>
            <w:r w:rsidRPr="0057269A">
              <w:rPr>
                <w:sz w:val="18"/>
                <w:szCs w:val="18"/>
              </w:rPr>
              <w:t>36min</w:t>
            </w:r>
          </w:p>
        </w:tc>
        <w:tc>
          <w:tcPr>
            <w:tcW w:w="1361" w:type="dxa"/>
            <w:shd w:val="clear" w:color="auto" w:fill="FFFFFF" w:themeFill="background1"/>
          </w:tcPr>
          <w:p w14:paraId="29B7A1F4" w14:textId="013B8F93" w:rsidR="0027615E" w:rsidRPr="0057269A" w:rsidRDefault="0027615E" w:rsidP="0027615E">
            <w:pPr>
              <w:rPr>
                <w:rFonts w:cs="HelveticaNeueLT Std"/>
                <w:sz w:val="18"/>
                <w:szCs w:val="18"/>
              </w:rPr>
            </w:pPr>
            <w:r w:rsidRPr="0057269A">
              <w:rPr>
                <w:sz w:val="18"/>
                <w:szCs w:val="18"/>
              </w:rPr>
              <w:t>&lt;60min</w:t>
            </w:r>
          </w:p>
        </w:tc>
        <w:tc>
          <w:tcPr>
            <w:tcW w:w="1361" w:type="dxa"/>
            <w:shd w:val="clear" w:color="auto" w:fill="FFFFFF" w:themeFill="background1"/>
          </w:tcPr>
          <w:p w14:paraId="04CCC491" w14:textId="64FFAF00" w:rsidR="0027615E" w:rsidRPr="0057269A" w:rsidRDefault="0027615E" w:rsidP="0027615E">
            <w:pPr>
              <w:rPr>
                <w:rFonts w:cs="HelveticaNeueLT Std"/>
                <w:sz w:val="18"/>
                <w:szCs w:val="18"/>
              </w:rPr>
            </w:pPr>
            <w:r w:rsidRPr="0057269A">
              <w:rPr>
                <w:sz w:val="18"/>
                <w:szCs w:val="18"/>
              </w:rPr>
              <w:t>27min</w:t>
            </w:r>
          </w:p>
        </w:tc>
        <w:tc>
          <w:tcPr>
            <w:tcW w:w="3651" w:type="dxa"/>
            <w:shd w:val="clear" w:color="auto" w:fill="FFFFFF" w:themeFill="background1"/>
          </w:tcPr>
          <w:p w14:paraId="52B39394" w14:textId="77777777" w:rsidR="0027615E" w:rsidRPr="0057269A" w:rsidRDefault="0027615E" w:rsidP="0027615E">
            <w:pPr>
              <w:rPr>
                <w:rFonts w:cs="HelveticaNeueLT Std"/>
                <w:b/>
                <w:bCs/>
                <w:sz w:val="18"/>
                <w:szCs w:val="18"/>
              </w:rPr>
            </w:pPr>
            <w:r w:rsidRPr="0057269A">
              <w:rPr>
                <w:rFonts w:cs="HelveticaNeueLT Std"/>
                <w:b/>
                <w:bCs/>
                <w:sz w:val="18"/>
                <w:szCs w:val="18"/>
              </w:rPr>
              <w:t>Target achieved.</w:t>
            </w:r>
          </w:p>
          <w:p w14:paraId="2A01DFD7" w14:textId="0123BA6D" w:rsidR="0027615E" w:rsidRPr="0057269A" w:rsidRDefault="0027615E" w:rsidP="0027615E">
            <w:pPr>
              <w:rPr>
                <w:rFonts w:cs="HelveticaNeueLT Std"/>
                <w:sz w:val="18"/>
                <w:szCs w:val="18"/>
              </w:rPr>
            </w:pPr>
            <w:r w:rsidRPr="0057269A">
              <w:rPr>
                <w:rFonts w:cs="HelveticaNeueLT Std"/>
                <w:sz w:val="18"/>
                <w:szCs w:val="18"/>
              </w:rPr>
              <w:t xml:space="preserve">The targets set across all wastewater response categories were achieved in the 2024/2025 period. </w:t>
            </w:r>
          </w:p>
          <w:p w14:paraId="41345A66" w14:textId="4E318682" w:rsidR="0027615E" w:rsidRPr="0057269A" w:rsidRDefault="0027615E" w:rsidP="0027615E">
            <w:pPr>
              <w:rPr>
                <w:rFonts w:cs="HelveticaNeueLT Std"/>
                <w:sz w:val="18"/>
                <w:szCs w:val="18"/>
              </w:rPr>
            </w:pPr>
            <w:r w:rsidRPr="0057269A">
              <w:rPr>
                <w:rFonts w:cs="HelveticaNeueLT Std"/>
                <w:sz w:val="18"/>
                <w:szCs w:val="18"/>
              </w:rPr>
              <w:t>There were 66 requests received in the period. The number of requests received is broadly consistent with the previous year.</w:t>
            </w:r>
          </w:p>
        </w:tc>
      </w:tr>
      <w:tr w:rsidR="0027615E" w:rsidRPr="00E641B6" w14:paraId="02214D88" w14:textId="77777777" w:rsidTr="00B738E2">
        <w:trPr>
          <w:cantSplit/>
          <w:trHeight w:val="15"/>
        </w:trPr>
        <w:tc>
          <w:tcPr>
            <w:tcW w:w="1838" w:type="dxa"/>
            <w:shd w:val="clear" w:color="auto" w:fill="FFFFFF" w:themeFill="background1"/>
          </w:tcPr>
          <w:p w14:paraId="06613BCB" w14:textId="3FE98ED8" w:rsidR="0027615E" w:rsidRPr="0057269A" w:rsidRDefault="0027615E" w:rsidP="0027615E">
            <w:pPr>
              <w:rPr>
                <w:rFonts w:cs="HelveticaNeueLT Std"/>
                <w:sz w:val="18"/>
                <w:szCs w:val="18"/>
              </w:rPr>
            </w:pPr>
            <w:r w:rsidRPr="0057269A">
              <w:rPr>
                <w:sz w:val="18"/>
                <w:szCs w:val="18"/>
              </w:rPr>
              <w:t>Median response time to attend to sewerage overflows resulting from blockages or other faults of a municipal sewerage system b) between the time of notification and resolution of the blockage or other fault.</w:t>
            </w:r>
          </w:p>
        </w:tc>
        <w:tc>
          <w:tcPr>
            <w:tcW w:w="1361" w:type="dxa"/>
            <w:shd w:val="clear" w:color="auto" w:fill="FFFFFF" w:themeFill="background1"/>
          </w:tcPr>
          <w:p w14:paraId="5B3F8454" w14:textId="7E19CC95" w:rsidR="0027615E" w:rsidRPr="0057269A" w:rsidRDefault="0027615E" w:rsidP="0027615E">
            <w:pPr>
              <w:rPr>
                <w:rFonts w:cs="HelveticaNeueLT Std"/>
                <w:sz w:val="18"/>
                <w:szCs w:val="18"/>
              </w:rPr>
            </w:pPr>
            <w:r w:rsidRPr="0057269A">
              <w:rPr>
                <w:sz w:val="18"/>
                <w:szCs w:val="18"/>
              </w:rPr>
              <w:t>170.5min</w:t>
            </w:r>
          </w:p>
        </w:tc>
        <w:tc>
          <w:tcPr>
            <w:tcW w:w="1361" w:type="dxa"/>
            <w:shd w:val="clear" w:color="auto" w:fill="FFFFFF" w:themeFill="background1"/>
          </w:tcPr>
          <w:p w14:paraId="2EC48374" w14:textId="3ECA6159" w:rsidR="0027615E" w:rsidRPr="0057269A" w:rsidRDefault="0027615E" w:rsidP="0027615E">
            <w:pPr>
              <w:rPr>
                <w:rFonts w:cs="HelveticaNeueLT Std"/>
                <w:sz w:val="18"/>
                <w:szCs w:val="18"/>
              </w:rPr>
            </w:pPr>
            <w:r w:rsidRPr="0057269A">
              <w:rPr>
                <w:sz w:val="18"/>
                <w:szCs w:val="18"/>
              </w:rPr>
              <w:t>&lt;240min</w:t>
            </w:r>
          </w:p>
        </w:tc>
        <w:tc>
          <w:tcPr>
            <w:tcW w:w="1361" w:type="dxa"/>
            <w:shd w:val="clear" w:color="auto" w:fill="FFFFFF" w:themeFill="background1"/>
          </w:tcPr>
          <w:p w14:paraId="43F3B30F" w14:textId="7505587D" w:rsidR="0027615E" w:rsidRPr="0057269A" w:rsidRDefault="0027615E" w:rsidP="0027615E">
            <w:pPr>
              <w:rPr>
                <w:rFonts w:cs="HelveticaNeueLT Std"/>
                <w:sz w:val="18"/>
                <w:szCs w:val="18"/>
              </w:rPr>
            </w:pPr>
            <w:r w:rsidRPr="0057269A">
              <w:rPr>
                <w:sz w:val="18"/>
                <w:szCs w:val="18"/>
              </w:rPr>
              <w:t>174min</w:t>
            </w:r>
          </w:p>
        </w:tc>
        <w:tc>
          <w:tcPr>
            <w:tcW w:w="3651" w:type="dxa"/>
            <w:shd w:val="clear" w:color="auto" w:fill="FFFFFF" w:themeFill="background1"/>
          </w:tcPr>
          <w:p w14:paraId="77292FF2" w14:textId="2C03CC7C" w:rsidR="0027615E" w:rsidRPr="0057269A" w:rsidRDefault="0027615E" w:rsidP="0027615E">
            <w:pPr>
              <w:rPr>
                <w:rFonts w:cs="HelveticaNeueLT Std"/>
                <w:sz w:val="18"/>
                <w:szCs w:val="18"/>
              </w:rPr>
            </w:pPr>
            <w:r w:rsidRPr="0057269A">
              <w:rPr>
                <w:rFonts w:cs="HelveticaNeueLT Std"/>
                <w:b/>
                <w:bCs/>
                <w:sz w:val="18"/>
                <w:szCs w:val="18"/>
              </w:rPr>
              <w:t>Target achieved.</w:t>
            </w:r>
          </w:p>
        </w:tc>
      </w:tr>
      <w:tr w:rsidR="0027615E" w:rsidRPr="00E641B6" w14:paraId="29000904" w14:textId="77777777" w:rsidTr="00B738E2">
        <w:trPr>
          <w:cantSplit/>
          <w:trHeight w:val="15"/>
        </w:trPr>
        <w:tc>
          <w:tcPr>
            <w:tcW w:w="1838" w:type="dxa"/>
            <w:shd w:val="clear" w:color="auto" w:fill="FFFFFF" w:themeFill="background1"/>
          </w:tcPr>
          <w:p w14:paraId="54FD478F" w14:textId="6920A659" w:rsidR="0027615E" w:rsidRPr="0057269A" w:rsidRDefault="0027615E" w:rsidP="0027615E">
            <w:pPr>
              <w:rPr>
                <w:rFonts w:cs="HelveticaNeueLT Std"/>
                <w:sz w:val="18"/>
                <w:szCs w:val="18"/>
              </w:rPr>
            </w:pPr>
            <w:r w:rsidRPr="0057269A">
              <w:rPr>
                <w:sz w:val="18"/>
                <w:szCs w:val="18"/>
              </w:rPr>
              <w:t>Annual number of dry weather overflows from a municipal sewerage system per 1000 sewerage connections.</w:t>
            </w:r>
          </w:p>
        </w:tc>
        <w:tc>
          <w:tcPr>
            <w:tcW w:w="1361" w:type="dxa"/>
            <w:shd w:val="clear" w:color="auto" w:fill="FFFFFF" w:themeFill="background1"/>
          </w:tcPr>
          <w:p w14:paraId="13AF2526" w14:textId="249A96C0" w:rsidR="0027615E" w:rsidRPr="0057269A" w:rsidRDefault="0027615E" w:rsidP="0027615E">
            <w:pPr>
              <w:rPr>
                <w:rFonts w:cs="HelveticaNeueLT Std"/>
                <w:sz w:val="18"/>
                <w:szCs w:val="18"/>
              </w:rPr>
            </w:pPr>
            <w:r w:rsidRPr="0057269A">
              <w:rPr>
                <w:sz w:val="18"/>
                <w:szCs w:val="18"/>
              </w:rPr>
              <w:t>1.87</w:t>
            </w:r>
          </w:p>
        </w:tc>
        <w:tc>
          <w:tcPr>
            <w:tcW w:w="1361" w:type="dxa"/>
            <w:shd w:val="clear" w:color="auto" w:fill="FFFFFF" w:themeFill="background1"/>
          </w:tcPr>
          <w:p w14:paraId="4130E15F" w14:textId="5996053C" w:rsidR="0027615E" w:rsidRPr="0057269A" w:rsidRDefault="0027615E" w:rsidP="0027615E">
            <w:pPr>
              <w:rPr>
                <w:rFonts w:cs="HelveticaNeueLT Std"/>
                <w:sz w:val="18"/>
                <w:szCs w:val="18"/>
              </w:rPr>
            </w:pPr>
            <w:r w:rsidRPr="0057269A">
              <w:rPr>
                <w:sz w:val="18"/>
                <w:szCs w:val="18"/>
              </w:rPr>
              <w:t>&lt;3</w:t>
            </w:r>
          </w:p>
        </w:tc>
        <w:tc>
          <w:tcPr>
            <w:tcW w:w="1361" w:type="dxa"/>
            <w:shd w:val="clear" w:color="auto" w:fill="FFFFFF" w:themeFill="background1"/>
          </w:tcPr>
          <w:p w14:paraId="0B42C6B1" w14:textId="6B53C58E" w:rsidR="0027615E" w:rsidRPr="0057269A" w:rsidRDefault="0027615E" w:rsidP="0027615E">
            <w:pPr>
              <w:rPr>
                <w:rFonts w:cs="HelveticaNeueLT Std"/>
                <w:sz w:val="18"/>
                <w:szCs w:val="18"/>
              </w:rPr>
            </w:pPr>
            <w:r w:rsidRPr="0057269A">
              <w:rPr>
                <w:sz w:val="18"/>
                <w:szCs w:val="18"/>
              </w:rPr>
              <w:t>1.72</w:t>
            </w:r>
          </w:p>
        </w:tc>
        <w:tc>
          <w:tcPr>
            <w:tcW w:w="3651" w:type="dxa"/>
            <w:shd w:val="clear" w:color="auto" w:fill="FFFFFF" w:themeFill="background1"/>
          </w:tcPr>
          <w:p w14:paraId="2E9F3753" w14:textId="77777777" w:rsidR="0027615E" w:rsidRPr="0057269A" w:rsidRDefault="0027615E" w:rsidP="0027615E">
            <w:pPr>
              <w:rPr>
                <w:rFonts w:cs="HelveticaNeueLT Std"/>
                <w:b/>
                <w:bCs/>
                <w:sz w:val="18"/>
                <w:szCs w:val="18"/>
              </w:rPr>
            </w:pPr>
            <w:r w:rsidRPr="0057269A">
              <w:rPr>
                <w:rFonts w:cs="HelveticaNeueLT Std"/>
                <w:b/>
                <w:bCs/>
                <w:sz w:val="18"/>
                <w:szCs w:val="18"/>
              </w:rPr>
              <w:t>Target achieved.</w:t>
            </w:r>
          </w:p>
          <w:p w14:paraId="1BCD2B3A" w14:textId="44414530" w:rsidR="0027615E" w:rsidRPr="0057269A" w:rsidRDefault="0027615E" w:rsidP="0027615E">
            <w:pPr>
              <w:rPr>
                <w:rFonts w:cs="HelveticaNeueLT Std"/>
                <w:sz w:val="18"/>
                <w:szCs w:val="18"/>
              </w:rPr>
            </w:pPr>
            <w:r w:rsidRPr="0027615E">
              <w:rPr>
                <w:rFonts w:cs="HelveticaNeueLT Std"/>
                <w:sz w:val="18"/>
                <w:szCs w:val="18"/>
                <w:lang w:val="en-GB"/>
              </w:rPr>
              <w:t>55 wastewater overflows were attended to over the year. This represents 1.72 overflow events per 1,000 connections and achieves the target set.</w:t>
            </w:r>
          </w:p>
        </w:tc>
      </w:tr>
      <w:tr w:rsidR="0027615E" w:rsidRPr="00E641B6" w14:paraId="1EA9A668" w14:textId="77777777" w:rsidTr="00B738E2">
        <w:trPr>
          <w:cantSplit/>
          <w:trHeight w:val="15"/>
        </w:trPr>
        <w:tc>
          <w:tcPr>
            <w:tcW w:w="1838" w:type="dxa"/>
            <w:shd w:val="clear" w:color="auto" w:fill="FFFFFF" w:themeFill="background1"/>
          </w:tcPr>
          <w:p w14:paraId="679D3CE4" w14:textId="77777777" w:rsidR="0027615E" w:rsidRPr="0057269A" w:rsidRDefault="0027615E" w:rsidP="0027615E">
            <w:pPr>
              <w:rPr>
                <w:rFonts w:cs="HelveticaNeueLT Std"/>
                <w:sz w:val="18"/>
                <w:szCs w:val="18"/>
              </w:rPr>
            </w:pPr>
            <w:r w:rsidRPr="0057269A">
              <w:rPr>
                <w:rFonts w:cs="HelveticaNeueLT Std"/>
                <w:sz w:val="18"/>
                <w:szCs w:val="18"/>
              </w:rPr>
              <w:t xml:space="preserve">Compliance with resource consents for discharge to air, land, or water from a municipal sewerage system, measured by the number of: </w:t>
            </w:r>
          </w:p>
          <w:p w14:paraId="556A6924" w14:textId="77777777" w:rsidR="0057269A" w:rsidRPr="0057269A" w:rsidRDefault="0027615E" w:rsidP="00A0388A">
            <w:pPr>
              <w:pStyle w:val="ListParagraph"/>
              <w:numPr>
                <w:ilvl w:val="0"/>
                <w:numId w:val="30"/>
              </w:numPr>
              <w:rPr>
                <w:rFonts w:cs="HelveticaNeueLT Std"/>
                <w:sz w:val="18"/>
                <w:szCs w:val="18"/>
              </w:rPr>
            </w:pPr>
            <w:r w:rsidRPr="0057269A">
              <w:rPr>
                <w:rFonts w:cs="HelveticaNeueLT Std"/>
                <w:sz w:val="18"/>
                <w:szCs w:val="18"/>
              </w:rPr>
              <w:t xml:space="preserve">abatement notices </w:t>
            </w:r>
          </w:p>
          <w:p w14:paraId="2A39BA4B" w14:textId="78EDC9FA" w:rsidR="0027615E" w:rsidRPr="0057269A" w:rsidRDefault="0027615E" w:rsidP="00A0388A">
            <w:pPr>
              <w:pStyle w:val="ListParagraph"/>
              <w:numPr>
                <w:ilvl w:val="0"/>
                <w:numId w:val="30"/>
              </w:numPr>
              <w:rPr>
                <w:rFonts w:cs="HelveticaNeueLT Std"/>
                <w:sz w:val="18"/>
                <w:szCs w:val="18"/>
              </w:rPr>
            </w:pPr>
            <w:r w:rsidRPr="0057269A">
              <w:rPr>
                <w:rFonts w:cs="HelveticaNeueLT Std"/>
                <w:sz w:val="18"/>
                <w:szCs w:val="18"/>
              </w:rPr>
              <w:t xml:space="preserve">infringement notices </w:t>
            </w:r>
          </w:p>
          <w:p w14:paraId="03AC9FCC" w14:textId="623FCEA9" w:rsidR="0027615E" w:rsidRPr="0057269A" w:rsidRDefault="0027615E" w:rsidP="00A0388A">
            <w:pPr>
              <w:pStyle w:val="ListParagraph"/>
              <w:numPr>
                <w:ilvl w:val="0"/>
                <w:numId w:val="30"/>
              </w:numPr>
              <w:rPr>
                <w:rFonts w:cs="HelveticaNeueLT Std"/>
                <w:sz w:val="18"/>
                <w:szCs w:val="18"/>
              </w:rPr>
            </w:pPr>
            <w:r w:rsidRPr="0057269A">
              <w:rPr>
                <w:rFonts w:cs="HelveticaNeueLT Std"/>
                <w:sz w:val="18"/>
                <w:szCs w:val="18"/>
              </w:rPr>
              <w:t xml:space="preserve">enforcement orders </w:t>
            </w:r>
          </w:p>
          <w:p w14:paraId="716A05B7" w14:textId="65ADC138" w:rsidR="0027615E" w:rsidRPr="0057269A" w:rsidRDefault="0027615E" w:rsidP="00A0388A">
            <w:pPr>
              <w:pStyle w:val="ListParagraph"/>
              <w:numPr>
                <w:ilvl w:val="0"/>
                <w:numId w:val="30"/>
              </w:numPr>
              <w:rPr>
                <w:rFonts w:cs="HelveticaNeueLT Std"/>
                <w:sz w:val="18"/>
                <w:szCs w:val="18"/>
              </w:rPr>
            </w:pPr>
            <w:r w:rsidRPr="0057269A">
              <w:rPr>
                <w:rFonts w:cs="HelveticaNeueLT Std"/>
                <w:sz w:val="18"/>
                <w:szCs w:val="18"/>
              </w:rPr>
              <w:t>successful prosecutions</w:t>
            </w:r>
          </w:p>
        </w:tc>
        <w:tc>
          <w:tcPr>
            <w:tcW w:w="1361" w:type="dxa"/>
            <w:shd w:val="clear" w:color="auto" w:fill="FFFFFF" w:themeFill="background1"/>
          </w:tcPr>
          <w:p w14:paraId="0B6A294E" w14:textId="462C1253" w:rsidR="0027615E" w:rsidRPr="0057269A" w:rsidRDefault="0027615E" w:rsidP="0027615E">
            <w:pPr>
              <w:rPr>
                <w:rFonts w:cs="HelveticaNeueLT Std"/>
                <w:sz w:val="18"/>
                <w:szCs w:val="18"/>
              </w:rPr>
            </w:pPr>
            <w:r w:rsidRPr="0057269A">
              <w:rPr>
                <w:sz w:val="18"/>
                <w:szCs w:val="18"/>
              </w:rPr>
              <w:t>67%</w:t>
            </w:r>
          </w:p>
        </w:tc>
        <w:tc>
          <w:tcPr>
            <w:tcW w:w="1361" w:type="dxa"/>
            <w:shd w:val="clear" w:color="auto" w:fill="FFFFFF" w:themeFill="background1"/>
          </w:tcPr>
          <w:p w14:paraId="02BF5780" w14:textId="23C7CBE7" w:rsidR="0027615E" w:rsidRPr="0057269A" w:rsidRDefault="0027615E" w:rsidP="0027615E">
            <w:pPr>
              <w:rPr>
                <w:rFonts w:cs="HelveticaNeueLT Std"/>
                <w:sz w:val="18"/>
                <w:szCs w:val="18"/>
              </w:rPr>
            </w:pPr>
            <w:r w:rsidRPr="0057269A">
              <w:rPr>
                <w:sz w:val="18"/>
                <w:szCs w:val="18"/>
              </w:rPr>
              <w:t>100%</w:t>
            </w:r>
          </w:p>
        </w:tc>
        <w:tc>
          <w:tcPr>
            <w:tcW w:w="1361" w:type="dxa"/>
            <w:shd w:val="clear" w:color="auto" w:fill="FFFFFF" w:themeFill="background1"/>
          </w:tcPr>
          <w:p w14:paraId="018C8BE4" w14:textId="42E616EA" w:rsidR="0027615E" w:rsidRPr="0057269A" w:rsidRDefault="0027615E" w:rsidP="0027615E">
            <w:pPr>
              <w:rPr>
                <w:rFonts w:cs="HelveticaNeueLT Std"/>
                <w:sz w:val="18"/>
                <w:szCs w:val="18"/>
              </w:rPr>
            </w:pPr>
            <w:r w:rsidRPr="0057269A">
              <w:rPr>
                <w:sz w:val="18"/>
                <w:szCs w:val="18"/>
              </w:rPr>
              <w:t>75%</w:t>
            </w:r>
          </w:p>
        </w:tc>
        <w:tc>
          <w:tcPr>
            <w:tcW w:w="3651" w:type="dxa"/>
            <w:shd w:val="clear" w:color="auto" w:fill="FFFFFF" w:themeFill="background1"/>
          </w:tcPr>
          <w:p w14:paraId="32E05874" w14:textId="466BAC89" w:rsidR="0027615E" w:rsidRPr="0057269A" w:rsidRDefault="0027615E" w:rsidP="0027615E">
            <w:pPr>
              <w:rPr>
                <w:rFonts w:cs="HelveticaNeueLT Std"/>
                <w:b/>
                <w:bCs/>
                <w:sz w:val="18"/>
                <w:szCs w:val="18"/>
              </w:rPr>
            </w:pPr>
            <w:r w:rsidRPr="0057269A">
              <w:rPr>
                <w:rFonts w:cs="HelveticaNeueLT Std"/>
                <w:b/>
                <w:bCs/>
                <w:sz w:val="18"/>
                <w:szCs w:val="18"/>
              </w:rPr>
              <w:t>Target not achieved.</w:t>
            </w:r>
          </w:p>
          <w:p w14:paraId="1D590F72" w14:textId="44C41EDA" w:rsidR="0027615E" w:rsidRPr="0057269A" w:rsidRDefault="0027615E" w:rsidP="0027615E">
            <w:pPr>
              <w:rPr>
                <w:rFonts w:cs="HelveticaNeueLT Std"/>
                <w:sz w:val="18"/>
                <w:szCs w:val="18"/>
              </w:rPr>
            </w:pPr>
            <w:r w:rsidRPr="0057269A">
              <w:rPr>
                <w:rFonts w:cs="HelveticaNeueLT Std"/>
                <w:sz w:val="18"/>
                <w:szCs w:val="18"/>
              </w:rPr>
              <w:t xml:space="preserve">There are currently 12 active wastewater discharge consents to land and to air. Three of these consents have active enforcement action associated with them. </w:t>
            </w:r>
          </w:p>
          <w:p w14:paraId="07DF5AC3" w14:textId="2BC6D78A" w:rsidR="0027615E" w:rsidRPr="0057269A" w:rsidRDefault="0027615E" w:rsidP="0027615E">
            <w:pPr>
              <w:rPr>
                <w:rFonts w:cs="HelveticaNeueLT Std"/>
                <w:sz w:val="18"/>
                <w:szCs w:val="18"/>
              </w:rPr>
            </w:pPr>
            <w:r w:rsidRPr="0057269A">
              <w:rPr>
                <w:rFonts w:cs="HelveticaNeueLT Std"/>
                <w:sz w:val="18"/>
                <w:szCs w:val="18"/>
              </w:rPr>
              <w:t xml:space="preserve">QLDC received one new abatement notice in 2024/25 for Hāwea WWTP (existing abatement notices in place for </w:t>
            </w:r>
            <w:proofErr w:type="spellStart"/>
            <w:r w:rsidRPr="0057269A">
              <w:rPr>
                <w:rFonts w:cs="HelveticaNeueLT Std"/>
                <w:sz w:val="18"/>
                <w:szCs w:val="18"/>
              </w:rPr>
              <w:t>Shotover</w:t>
            </w:r>
            <w:proofErr w:type="spellEnd"/>
            <w:r w:rsidRPr="0057269A">
              <w:rPr>
                <w:rFonts w:cs="HelveticaNeueLT Std"/>
                <w:sz w:val="18"/>
                <w:szCs w:val="18"/>
              </w:rPr>
              <w:t xml:space="preserve"> WWTP and </w:t>
            </w:r>
            <w:proofErr w:type="spellStart"/>
            <w:r w:rsidRPr="0057269A">
              <w:rPr>
                <w:rFonts w:cs="HelveticaNeueLT Std"/>
                <w:sz w:val="18"/>
                <w:szCs w:val="18"/>
              </w:rPr>
              <w:t>Glendhu</w:t>
            </w:r>
            <w:proofErr w:type="spellEnd"/>
            <w:r w:rsidRPr="0057269A">
              <w:rPr>
                <w:rFonts w:cs="HelveticaNeueLT Std"/>
                <w:sz w:val="18"/>
                <w:szCs w:val="18"/>
              </w:rPr>
              <w:t xml:space="preserve"> Bay Campground). QLDC received five infringements across the year, all related to </w:t>
            </w:r>
            <w:proofErr w:type="spellStart"/>
            <w:r w:rsidRPr="0057269A">
              <w:rPr>
                <w:rFonts w:cs="HelveticaNeueLT Std"/>
                <w:sz w:val="18"/>
                <w:szCs w:val="18"/>
              </w:rPr>
              <w:t>Shotover</w:t>
            </w:r>
            <w:proofErr w:type="spellEnd"/>
            <w:r w:rsidRPr="0057269A">
              <w:rPr>
                <w:rFonts w:cs="HelveticaNeueLT Std"/>
                <w:sz w:val="18"/>
                <w:szCs w:val="18"/>
              </w:rPr>
              <w:t xml:space="preserve"> WWTP. An Enforcement Order is also in place in relation to </w:t>
            </w:r>
            <w:proofErr w:type="spellStart"/>
            <w:r w:rsidRPr="0057269A">
              <w:rPr>
                <w:rFonts w:cs="HelveticaNeueLT Std"/>
                <w:sz w:val="18"/>
                <w:szCs w:val="18"/>
              </w:rPr>
              <w:t>Shotover</w:t>
            </w:r>
            <w:proofErr w:type="spellEnd"/>
            <w:r w:rsidRPr="0057269A">
              <w:rPr>
                <w:rFonts w:cs="HelveticaNeueLT Std"/>
                <w:sz w:val="18"/>
                <w:szCs w:val="18"/>
              </w:rPr>
              <w:t xml:space="preserve"> WWTP.</w:t>
            </w:r>
          </w:p>
        </w:tc>
      </w:tr>
      <w:tr w:rsidR="0027615E" w:rsidRPr="00E641B6" w14:paraId="13E12110" w14:textId="77777777" w:rsidTr="00B738E2">
        <w:trPr>
          <w:cantSplit/>
          <w:trHeight w:val="15"/>
        </w:trPr>
        <w:tc>
          <w:tcPr>
            <w:tcW w:w="1838" w:type="dxa"/>
            <w:shd w:val="clear" w:color="auto" w:fill="FFFFFF" w:themeFill="background1"/>
          </w:tcPr>
          <w:p w14:paraId="3C53DEEA" w14:textId="50AAA675" w:rsidR="0027615E" w:rsidRPr="0057269A" w:rsidRDefault="0027615E" w:rsidP="0027615E">
            <w:pPr>
              <w:rPr>
                <w:rFonts w:cs="HelveticaNeueLT Std"/>
                <w:sz w:val="18"/>
                <w:szCs w:val="18"/>
              </w:rPr>
            </w:pPr>
            <w:r w:rsidRPr="0057269A">
              <w:rPr>
                <w:sz w:val="18"/>
                <w:szCs w:val="18"/>
              </w:rPr>
              <w:lastRenderedPageBreak/>
              <w:t>Number of complaints per 1,000 properties connected to a municipal sewerage system about odour.</w:t>
            </w:r>
          </w:p>
        </w:tc>
        <w:tc>
          <w:tcPr>
            <w:tcW w:w="1361" w:type="dxa"/>
            <w:shd w:val="clear" w:color="auto" w:fill="FFFFFF" w:themeFill="background1"/>
          </w:tcPr>
          <w:p w14:paraId="789B9E55" w14:textId="3DC0BB0F" w:rsidR="0027615E" w:rsidRPr="0057269A" w:rsidRDefault="0027615E" w:rsidP="0027615E">
            <w:pPr>
              <w:rPr>
                <w:rFonts w:cs="HelveticaNeueLT Std"/>
                <w:sz w:val="18"/>
                <w:szCs w:val="18"/>
              </w:rPr>
            </w:pPr>
            <w:r w:rsidRPr="0057269A">
              <w:rPr>
                <w:sz w:val="18"/>
                <w:szCs w:val="18"/>
              </w:rPr>
              <w:t>0.9</w:t>
            </w:r>
          </w:p>
        </w:tc>
        <w:tc>
          <w:tcPr>
            <w:tcW w:w="1361" w:type="dxa"/>
            <w:shd w:val="clear" w:color="auto" w:fill="FFFFFF" w:themeFill="background1"/>
          </w:tcPr>
          <w:p w14:paraId="05160F3B" w14:textId="25D4FF26" w:rsidR="0027615E" w:rsidRPr="0057269A" w:rsidRDefault="0027615E" w:rsidP="0027615E">
            <w:pPr>
              <w:rPr>
                <w:rFonts w:cs="HelveticaNeueLT Std"/>
                <w:sz w:val="18"/>
                <w:szCs w:val="18"/>
              </w:rPr>
            </w:pPr>
            <w:r w:rsidRPr="0057269A">
              <w:rPr>
                <w:sz w:val="18"/>
                <w:szCs w:val="18"/>
              </w:rPr>
              <w:t>&lt;5</w:t>
            </w:r>
          </w:p>
        </w:tc>
        <w:tc>
          <w:tcPr>
            <w:tcW w:w="1361" w:type="dxa"/>
            <w:shd w:val="clear" w:color="auto" w:fill="FFFFFF" w:themeFill="background1"/>
          </w:tcPr>
          <w:p w14:paraId="3A52F0B9" w14:textId="774D2054" w:rsidR="0027615E" w:rsidRPr="0057269A" w:rsidRDefault="0027615E" w:rsidP="0027615E">
            <w:pPr>
              <w:rPr>
                <w:rFonts w:cs="HelveticaNeueLT Std"/>
                <w:sz w:val="18"/>
                <w:szCs w:val="18"/>
              </w:rPr>
            </w:pPr>
            <w:r w:rsidRPr="0057269A">
              <w:rPr>
                <w:sz w:val="18"/>
                <w:szCs w:val="18"/>
              </w:rPr>
              <w:t>0.91</w:t>
            </w:r>
          </w:p>
        </w:tc>
        <w:tc>
          <w:tcPr>
            <w:tcW w:w="3651" w:type="dxa"/>
            <w:shd w:val="clear" w:color="auto" w:fill="FFFFFF" w:themeFill="background1"/>
          </w:tcPr>
          <w:p w14:paraId="31A52A52" w14:textId="77777777" w:rsidR="0057269A" w:rsidRPr="0057269A" w:rsidRDefault="0057269A" w:rsidP="0057269A">
            <w:pPr>
              <w:rPr>
                <w:rFonts w:cs="HelveticaNeueLT Std"/>
                <w:b/>
                <w:bCs/>
                <w:sz w:val="18"/>
                <w:szCs w:val="18"/>
              </w:rPr>
            </w:pPr>
            <w:r w:rsidRPr="0057269A">
              <w:rPr>
                <w:rFonts w:cs="HelveticaNeueLT Std"/>
                <w:b/>
                <w:bCs/>
                <w:sz w:val="18"/>
                <w:szCs w:val="18"/>
              </w:rPr>
              <w:t>Target achieved.</w:t>
            </w:r>
          </w:p>
          <w:p w14:paraId="1AE9BC15" w14:textId="1965A13E" w:rsidR="0027615E" w:rsidRPr="0057269A" w:rsidRDefault="0027615E" w:rsidP="0027615E">
            <w:pPr>
              <w:rPr>
                <w:rFonts w:cs="HelveticaNeueLT Std"/>
                <w:sz w:val="18"/>
                <w:szCs w:val="18"/>
              </w:rPr>
            </w:pPr>
            <w:r w:rsidRPr="0057269A">
              <w:rPr>
                <w:rFonts w:cs="HelveticaNeueLT Std"/>
                <w:sz w:val="18"/>
                <w:szCs w:val="18"/>
              </w:rPr>
              <w:t>The annual target of less than five complaints per 1,000 connections was achieved for all categories.</w:t>
            </w:r>
          </w:p>
        </w:tc>
      </w:tr>
      <w:tr w:rsidR="0027615E" w:rsidRPr="00E641B6" w14:paraId="7C388647" w14:textId="77777777" w:rsidTr="00B738E2">
        <w:trPr>
          <w:cantSplit/>
          <w:trHeight w:val="15"/>
        </w:trPr>
        <w:tc>
          <w:tcPr>
            <w:tcW w:w="1838" w:type="dxa"/>
            <w:shd w:val="clear" w:color="auto" w:fill="FFFFFF" w:themeFill="background1"/>
          </w:tcPr>
          <w:p w14:paraId="5F9C0F8A" w14:textId="64DE3A50" w:rsidR="0027615E" w:rsidRPr="0057269A" w:rsidRDefault="0027615E" w:rsidP="0027615E">
            <w:pPr>
              <w:rPr>
                <w:rFonts w:cs="HelveticaNeueLT Std"/>
                <w:sz w:val="18"/>
                <w:szCs w:val="18"/>
              </w:rPr>
            </w:pPr>
            <w:r w:rsidRPr="0057269A">
              <w:rPr>
                <w:sz w:val="18"/>
                <w:szCs w:val="18"/>
              </w:rPr>
              <w:t>Number of complaints per 1,000 properties connected to a municipal sewerage system about faults.</w:t>
            </w:r>
          </w:p>
        </w:tc>
        <w:tc>
          <w:tcPr>
            <w:tcW w:w="1361" w:type="dxa"/>
            <w:shd w:val="clear" w:color="auto" w:fill="FFFFFF" w:themeFill="background1"/>
          </w:tcPr>
          <w:p w14:paraId="010D13C7" w14:textId="3C6FFC62" w:rsidR="0027615E" w:rsidRPr="0057269A" w:rsidRDefault="0027615E" w:rsidP="0027615E">
            <w:pPr>
              <w:rPr>
                <w:rFonts w:cs="HelveticaNeueLT Std"/>
                <w:sz w:val="18"/>
                <w:szCs w:val="18"/>
              </w:rPr>
            </w:pPr>
            <w:r w:rsidRPr="0057269A">
              <w:rPr>
                <w:sz w:val="18"/>
                <w:szCs w:val="18"/>
              </w:rPr>
              <w:t>3.08</w:t>
            </w:r>
          </w:p>
        </w:tc>
        <w:tc>
          <w:tcPr>
            <w:tcW w:w="1361" w:type="dxa"/>
            <w:shd w:val="clear" w:color="auto" w:fill="FFFFFF" w:themeFill="background1"/>
          </w:tcPr>
          <w:p w14:paraId="6DBC6952" w14:textId="2F3215F7" w:rsidR="0027615E" w:rsidRPr="0057269A" w:rsidRDefault="0027615E" w:rsidP="0027615E">
            <w:pPr>
              <w:rPr>
                <w:rFonts w:cs="HelveticaNeueLT Std"/>
                <w:sz w:val="18"/>
                <w:szCs w:val="18"/>
              </w:rPr>
            </w:pPr>
            <w:r w:rsidRPr="0057269A">
              <w:rPr>
                <w:sz w:val="18"/>
                <w:szCs w:val="18"/>
              </w:rPr>
              <w:t>&lt;5</w:t>
            </w:r>
          </w:p>
        </w:tc>
        <w:tc>
          <w:tcPr>
            <w:tcW w:w="1361" w:type="dxa"/>
            <w:shd w:val="clear" w:color="auto" w:fill="FFFFFF" w:themeFill="background1"/>
          </w:tcPr>
          <w:p w14:paraId="70215930" w14:textId="2F8180D2" w:rsidR="0027615E" w:rsidRPr="0057269A" w:rsidRDefault="0027615E" w:rsidP="0027615E">
            <w:pPr>
              <w:rPr>
                <w:rFonts w:cs="HelveticaNeueLT Std"/>
                <w:sz w:val="18"/>
                <w:szCs w:val="18"/>
              </w:rPr>
            </w:pPr>
            <w:r w:rsidRPr="0057269A">
              <w:rPr>
                <w:sz w:val="18"/>
                <w:szCs w:val="18"/>
              </w:rPr>
              <w:t>2.53</w:t>
            </w:r>
          </w:p>
        </w:tc>
        <w:tc>
          <w:tcPr>
            <w:tcW w:w="3651" w:type="dxa"/>
            <w:shd w:val="clear" w:color="auto" w:fill="FFFFFF" w:themeFill="background1"/>
          </w:tcPr>
          <w:p w14:paraId="4A67691E" w14:textId="75D114C5" w:rsidR="0027615E" w:rsidRPr="0057269A" w:rsidRDefault="0027615E" w:rsidP="0027615E">
            <w:pPr>
              <w:rPr>
                <w:rFonts w:cs="HelveticaNeueLT Std"/>
                <w:b/>
                <w:bCs/>
                <w:sz w:val="18"/>
                <w:szCs w:val="18"/>
              </w:rPr>
            </w:pPr>
            <w:r w:rsidRPr="0057269A">
              <w:rPr>
                <w:rFonts w:cs="HelveticaNeueLT Std"/>
                <w:b/>
                <w:bCs/>
                <w:sz w:val="18"/>
                <w:szCs w:val="18"/>
              </w:rPr>
              <w:t>Target achieved.</w:t>
            </w:r>
          </w:p>
        </w:tc>
      </w:tr>
      <w:tr w:rsidR="0027615E" w:rsidRPr="00E641B6" w14:paraId="39CB8D3E" w14:textId="77777777" w:rsidTr="00B738E2">
        <w:trPr>
          <w:cantSplit/>
          <w:trHeight w:val="15"/>
        </w:trPr>
        <w:tc>
          <w:tcPr>
            <w:tcW w:w="1838" w:type="dxa"/>
            <w:shd w:val="clear" w:color="auto" w:fill="FFFFFF" w:themeFill="background1"/>
          </w:tcPr>
          <w:p w14:paraId="71EF714F" w14:textId="1637B4D6" w:rsidR="0027615E" w:rsidRPr="0057269A" w:rsidRDefault="0027615E" w:rsidP="0027615E">
            <w:pPr>
              <w:rPr>
                <w:rFonts w:cs="HelveticaNeueLT Std"/>
                <w:sz w:val="18"/>
                <w:szCs w:val="18"/>
              </w:rPr>
            </w:pPr>
            <w:r w:rsidRPr="0057269A">
              <w:rPr>
                <w:sz w:val="18"/>
                <w:szCs w:val="18"/>
              </w:rPr>
              <w:t>Number of complaints per 1,000 properties connected to a municipal sewerage system about blockages.</w:t>
            </w:r>
          </w:p>
        </w:tc>
        <w:tc>
          <w:tcPr>
            <w:tcW w:w="1361" w:type="dxa"/>
            <w:shd w:val="clear" w:color="auto" w:fill="FFFFFF" w:themeFill="background1"/>
          </w:tcPr>
          <w:p w14:paraId="09DAD226" w14:textId="72212039" w:rsidR="0027615E" w:rsidRPr="0057269A" w:rsidRDefault="0027615E" w:rsidP="0027615E">
            <w:pPr>
              <w:rPr>
                <w:rFonts w:cs="HelveticaNeueLT Std"/>
                <w:sz w:val="18"/>
                <w:szCs w:val="18"/>
              </w:rPr>
            </w:pPr>
            <w:r w:rsidRPr="0057269A">
              <w:rPr>
                <w:sz w:val="18"/>
                <w:szCs w:val="18"/>
              </w:rPr>
              <w:t>1.51</w:t>
            </w:r>
          </w:p>
        </w:tc>
        <w:tc>
          <w:tcPr>
            <w:tcW w:w="1361" w:type="dxa"/>
            <w:shd w:val="clear" w:color="auto" w:fill="FFFFFF" w:themeFill="background1"/>
          </w:tcPr>
          <w:p w14:paraId="2ABCA564" w14:textId="7BDE2A88" w:rsidR="0027615E" w:rsidRPr="0057269A" w:rsidRDefault="0027615E" w:rsidP="0027615E">
            <w:pPr>
              <w:rPr>
                <w:rFonts w:cs="HelveticaNeueLT Std"/>
                <w:sz w:val="18"/>
                <w:szCs w:val="18"/>
              </w:rPr>
            </w:pPr>
            <w:r w:rsidRPr="0057269A">
              <w:rPr>
                <w:sz w:val="18"/>
                <w:szCs w:val="18"/>
              </w:rPr>
              <w:t>&lt;5</w:t>
            </w:r>
          </w:p>
        </w:tc>
        <w:tc>
          <w:tcPr>
            <w:tcW w:w="1361" w:type="dxa"/>
            <w:shd w:val="clear" w:color="auto" w:fill="FFFFFF" w:themeFill="background1"/>
          </w:tcPr>
          <w:p w14:paraId="2221BFE7" w14:textId="15129F1E" w:rsidR="0027615E" w:rsidRPr="0057269A" w:rsidRDefault="0027615E" w:rsidP="0027615E">
            <w:pPr>
              <w:rPr>
                <w:rFonts w:cs="HelveticaNeueLT Std"/>
                <w:sz w:val="18"/>
                <w:szCs w:val="18"/>
              </w:rPr>
            </w:pPr>
            <w:r w:rsidRPr="0057269A">
              <w:rPr>
                <w:sz w:val="18"/>
                <w:szCs w:val="18"/>
              </w:rPr>
              <w:t>1.59</w:t>
            </w:r>
          </w:p>
        </w:tc>
        <w:tc>
          <w:tcPr>
            <w:tcW w:w="3651" w:type="dxa"/>
            <w:shd w:val="clear" w:color="auto" w:fill="FFFFFF" w:themeFill="background1"/>
          </w:tcPr>
          <w:p w14:paraId="03CBBAD7" w14:textId="5AB94BD6" w:rsidR="0027615E" w:rsidRPr="0057269A" w:rsidRDefault="0027615E" w:rsidP="0027615E">
            <w:pPr>
              <w:rPr>
                <w:rFonts w:cs="HelveticaNeueLT Std"/>
                <w:b/>
                <w:bCs/>
                <w:sz w:val="18"/>
                <w:szCs w:val="18"/>
              </w:rPr>
            </w:pPr>
            <w:r w:rsidRPr="0057269A">
              <w:rPr>
                <w:rFonts w:cs="HelveticaNeueLT Std"/>
                <w:b/>
                <w:bCs/>
                <w:sz w:val="18"/>
                <w:szCs w:val="18"/>
              </w:rPr>
              <w:t>Target achieved.</w:t>
            </w:r>
          </w:p>
        </w:tc>
      </w:tr>
      <w:tr w:rsidR="0027615E" w:rsidRPr="00E641B6" w14:paraId="3CDA5C32" w14:textId="77777777" w:rsidTr="00B738E2">
        <w:trPr>
          <w:cantSplit/>
          <w:trHeight w:val="15"/>
        </w:trPr>
        <w:tc>
          <w:tcPr>
            <w:tcW w:w="1838" w:type="dxa"/>
            <w:shd w:val="clear" w:color="auto" w:fill="FFFFFF" w:themeFill="background1"/>
          </w:tcPr>
          <w:p w14:paraId="1D153C15" w14:textId="066EF12F" w:rsidR="0027615E" w:rsidRPr="0057269A" w:rsidRDefault="0027615E" w:rsidP="0027615E">
            <w:pPr>
              <w:rPr>
                <w:rFonts w:cs="HelveticaNeueLT Std"/>
                <w:sz w:val="18"/>
                <w:szCs w:val="18"/>
              </w:rPr>
            </w:pPr>
            <w:r w:rsidRPr="0057269A">
              <w:rPr>
                <w:sz w:val="18"/>
                <w:szCs w:val="18"/>
              </w:rPr>
              <w:t>Number of complaints per 1,000 properties connected to a municipal sewerage system about the territorial authority’s response to issues with its sewerage system.</w:t>
            </w:r>
          </w:p>
        </w:tc>
        <w:tc>
          <w:tcPr>
            <w:tcW w:w="1361" w:type="dxa"/>
            <w:shd w:val="clear" w:color="auto" w:fill="FFFFFF" w:themeFill="background1"/>
          </w:tcPr>
          <w:p w14:paraId="52AEA28E" w14:textId="69273CC9" w:rsidR="0027615E" w:rsidRPr="0057269A" w:rsidRDefault="0027615E" w:rsidP="0027615E">
            <w:pPr>
              <w:rPr>
                <w:rFonts w:cs="HelveticaNeueLT Std"/>
                <w:sz w:val="18"/>
                <w:szCs w:val="18"/>
              </w:rPr>
            </w:pPr>
            <w:r w:rsidRPr="0057269A">
              <w:rPr>
                <w:sz w:val="18"/>
                <w:szCs w:val="18"/>
              </w:rPr>
              <w:t>0</w:t>
            </w:r>
          </w:p>
        </w:tc>
        <w:tc>
          <w:tcPr>
            <w:tcW w:w="1361" w:type="dxa"/>
            <w:shd w:val="clear" w:color="auto" w:fill="FFFFFF" w:themeFill="background1"/>
          </w:tcPr>
          <w:p w14:paraId="109F12E1" w14:textId="2153EB60" w:rsidR="0027615E" w:rsidRPr="0057269A" w:rsidRDefault="0027615E" w:rsidP="0027615E">
            <w:pPr>
              <w:rPr>
                <w:rFonts w:cs="HelveticaNeueLT Std"/>
                <w:sz w:val="18"/>
                <w:szCs w:val="18"/>
              </w:rPr>
            </w:pPr>
            <w:r w:rsidRPr="0057269A">
              <w:rPr>
                <w:sz w:val="18"/>
                <w:szCs w:val="18"/>
              </w:rPr>
              <w:t>&lt;2</w:t>
            </w:r>
          </w:p>
        </w:tc>
        <w:tc>
          <w:tcPr>
            <w:tcW w:w="1361" w:type="dxa"/>
            <w:shd w:val="clear" w:color="auto" w:fill="FFFFFF" w:themeFill="background1"/>
          </w:tcPr>
          <w:p w14:paraId="41A40DCA" w14:textId="2B797B1F" w:rsidR="0027615E" w:rsidRPr="0057269A" w:rsidRDefault="0027615E" w:rsidP="0027615E">
            <w:pPr>
              <w:rPr>
                <w:rFonts w:cs="HelveticaNeueLT Std"/>
                <w:sz w:val="18"/>
                <w:szCs w:val="18"/>
              </w:rPr>
            </w:pPr>
            <w:r w:rsidRPr="0057269A">
              <w:rPr>
                <w:sz w:val="18"/>
                <w:szCs w:val="18"/>
              </w:rPr>
              <w:t>0</w:t>
            </w:r>
          </w:p>
        </w:tc>
        <w:tc>
          <w:tcPr>
            <w:tcW w:w="3651" w:type="dxa"/>
            <w:shd w:val="clear" w:color="auto" w:fill="FFFFFF" w:themeFill="background1"/>
          </w:tcPr>
          <w:p w14:paraId="6C7BBF35" w14:textId="77777777" w:rsidR="0027615E" w:rsidRPr="0057269A" w:rsidRDefault="0027615E" w:rsidP="0027615E">
            <w:pPr>
              <w:rPr>
                <w:rFonts w:cs="HelveticaNeueLT Std"/>
                <w:b/>
                <w:bCs/>
                <w:sz w:val="18"/>
                <w:szCs w:val="18"/>
              </w:rPr>
            </w:pPr>
            <w:r w:rsidRPr="0057269A">
              <w:rPr>
                <w:rFonts w:cs="HelveticaNeueLT Std"/>
                <w:b/>
                <w:bCs/>
                <w:sz w:val="18"/>
                <w:szCs w:val="18"/>
              </w:rPr>
              <w:t>Target achieved.</w:t>
            </w:r>
          </w:p>
          <w:p w14:paraId="4DB1E63C" w14:textId="7011B5FE" w:rsidR="0027615E" w:rsidRPr="0057269A" w:rsidRDefault="0027615E" w:rsidP="0027615E">
            <w:pPr>
              <w:rPr>
                <w:rFonts w:cs="HelveticaNeueLT Std"/>
                <w:sz w:val="18"/>
                <w:szCs w:val="18"/>
              </w:rPr>
            </w:pPr>
            <w:r w:rsidRPr="0057269A">
              <w:rPr>
                <w:rFonts w:cs="HelveticaNeueLT Std"/>
                <w:sz w:val="18"/>
                <w:szCs w:val="18"/>
              </w:rPr>
              <w:t>There have been no complaints about Council’s response to issues in the 2024-2025 reporting period.</w:t>
            </w:r>
          </w:p>
        </w:tc>
      </w:tr>
    </w:tbl>
    <w:p w14:paraId="00AC77FE" w14:textId="77777777" w:rsidR="0057269A" w:rsidRPr="00E641B6" w:rsidRDefault="0057269A">
      <w:pPr>
        <w:rPr>
          <w:sz w:val="24"/>
          <w:lang w:val="en-GB"/>
        </w:rPr>
      </w:pPr>
      <w:r w:rsidRPr="00E641B6">
        <w:rPr>
          <w:sz w:val="24"/>
          <w:lang w:val="en-GB"/>
        </w:rPr>
        <w:br w:type="page"/>
      </w:r>
    </w:p>
    <w:p w14:paraId="34D29145" w14:textId="0CDFE67B" w:rsidR="00CF55FD" w:rsidRDefault="00CF55FD" w:rsidP="00CF55FD">
      <w:pPr>
        <w:pStyle w:val="Heading2"/>
        <w:rPr>
          <w:lang w:val="en-GB"/>
        </w:rPr>
      </w:pPr>
      <w:bookmarkStart w:id="37" w:name="_Toc211422649"/>
      <w:r w:rsidRPr="00CF55FD">
        <w:rPr>
          <w:lang w:val="en-GB"/>
        </w:rPr>
        <w:lastRenderedPageBreak/>
        <w:t xml:space="preserve">Stormwater </w:t>
      </w:r>
      <w:r>
        <w:rPr>
          <w:lang w:val="en-GB"/>
        </w:rPr>
        <w:t xml:space="preserve">| </w:t>
      </w:r>
      <w:r w:rsidRPr="00CF55FD">
        <w:rPr>
          <w:lang w:val="en-GB"/>
        </w:rPr>
        <w:t xml:space="preserve">Wai </w:t>
      </w:r>
      <w:proofErr w:type="spellStart"/>
      <w:r w:rsidRPr="00CF55FD">
        <w:rPr>
          <w:lang w:val="en-GB"/>
        </w:rPr>
        <w:t>ua</w:t>
      </w:r>
      <w:bookmarkEnd w:id="37"/>
      <w:proofErr w:type="spellEnd"/>
    </w:p>
    <w:p w14:paraId="0D1BD30B" w14:textId="77777777" w:rsidR="00CF55FD" w:rsidRPr="007B27E4" w:rsidRDefault="00CF55FD" w:rsidP="00CF55FD">
      <w:pPr>
        <w:pStyle w:val="Heading3"/>
      </w:pPr>
      <w:bookmarkStart w:id="38" w:name="_Toc211422650"/>
      <w:r w:rsidRPr="007B27E4">
        <w:t>How we performed</w:t>
      </w:r>
      <w:bookmarkEnd w:id="38"/>
    </w:p>
    <w:p w14:paraId="7F7C11B4" w14:textId="77777777" w:rsidR="00CF55FD" w:rsidRPr="00E641B6" w:rsidRDefault="00CF55FD" w:rsidP="00CF55FD">
      <w:pPr>
        <w:rPr>
          <w:sz w:val="24"/>
          <w:lang w:val="en-GB"/>
        </w:rPr>
      </w:pPr>
      <w:r w:rsidRPr="00E641B6">
        <w:rPr>
          <w:sz w:val="24"/>
          <w:lang w:val="en-GB"/>
        </w:rPr>
        <w:t>How QLDC performed against its Key Performance Indicators (KPIs).</w:t>
      </w:r>
    </w:p>
    <w:tbl>
      <w:tblPr>
        <w:tblStyle w:val="TableGrid"/>
        <w:tblW w:w="9572" w:type="dxa"/>
        <w:tblLayout w:type="fixed"/>
        <w:tblCellMar>
          <w:top w:w="115" w:type="dxa"/>
          <w:bottom w:w="115" w:type="dxa"/>
        </w:tblCellMar>
        <w:tblLook w:val="04A0" w:firstRow="1" w:lastRow="0" w:firstColumn="1" w:lastColumn="0" w:noHBand="0" w:noVBand="1"/>
      </w:tblPr>
      <w:tblGrid>
        <w:gridCol w:w="1838"/>
        <w:gridCol w:w="1361"/>
        <w:gridCol w:w="1361"/>
        <w:gridCol w:w="1361"/>
        <w:gridCol w:w="3651"/>
      </w:tblGrid>
      <w:tr w:rsidR="00CF55FD" w:rsidRPr="00E641B6" w14:paraId="1ED30797" w14:textId="77777777" w:rsidTr="00B738E2">
        <w:trPr>
          <w:cantSplit/>
        </w:trPr>
        <w:tc>
          <w:tcPr>
            <w:tcW w:w="1838" w:type="dxa"/>
            <w:shd w:val="clear" w:color="auto" w:fill="BFBFBF" w:themeFill="background1" w:themeFillShade="BF"/>
          </w:tcPr>
          <w:p w14:paraId="55C015E2" w14:textId="77777777" w:rsidR="00CF55FD" w:rsidRPr="00A0388A" w:rsidRDefault="00CF55FD" w:rsidP="00B738E2">
            <w:pPr>
              <w:rPr>
                <w:b/>
                <w:bCs/>
                <w:sz w:val="18"/>
                <w:szCs w:val="18"/>
                <w:lang w:val="en-US"/>
              </w:rPr>
            </w:pPr>
            <w:r w:rsidRPr="00A0388A">
              <w:rPr>
                <w:sz w:val="18"/>
                <w:szCs w:val="18"/>
              </w:rPr>
              <w:t>KPIs</w:t>
            </w:r>
          </w:p>
        </w:tc>
        <w:tc>
          <w:tcPr>
            <w:tcW w:w="1361" w:type="dxa"/>
            <w:shd w:val="clear" w:color="auto" w:fill="BFBFBF" w:themeFill="background1" w:themeFillShade="BF"/>
          </w:tcPr>
          <w:p w14:paraId="451463BB" w14:textId="77777777" w:rsidR="00CF55FD" w:rsidRPr="00A0388A" w:rsidRDefault="00CF55FD" w:rsidP="00B738E2">
            <w:pPr>
              <w:rPr>
                <w:b/>
                <w:bCs/>
                <w:sz w:val="18"/>
                <w:szCs w:val="18"/>
                <w:lang w:val="en-US"/>
              </w:rPr>
            </w:pPr>
            <w:r w:rsidRPr="00A0388A">
              <w:rPr>
                <w:sz w:val="18"/>
                <w:szCs w:val="18"/>
              </w:rPr>
              <w:t xml:space="preserve">Baseline Performance </w:t>
            </w:r>
            <w:proofErr w:type="gramStart"/>
            <w:r w:rsidRPr="00A0388A">
              <w:rPr>
                <w:sz w:val="18"/>
                <w:szCs w:val="18"/>
              </w:rPr>
              <w:t>at</w:t>
            </w:r>
            <w:proofErr w:type="gramEnd"/>
            <w:r w:rsidRPr="00A0388A">
              <w:rPr>
                <w:sz w:val="18"/>
                <w:szCs w:val="18"/>
              </w:rPr>
              <w:t xml:space="preserve"> 30 June 2024</w:t>
            </w:r>
          </w:p>
        </w:tc>
        <w:tc>
          <w:tcPr>
            <w:tcW w:w="1361" w:type="dxa"/>
            <w:shd w:val="clear" w:color="auto" w:fill="BFBFBF" w:themeFill="background1" w:themeFillShade="BF"/>
          </w:tcPr>
          <w:p w14:paraId="3A42D49A" w14:textId="77777777" w:rsidR="00CF55FD" w:rsidRPr="00A0388A" w:rsidRDefault="00CF55FD" w:rsidP="00B738E2">
            <w:pPr>
              <w:rPr>
                <w:b/>
                <w:bCs/>
                <w:sz w:val="18"/>
                <w:szCs w:val="18"/>
                <w:lang w:val="en-US"/>
              </w:rPr>
            </w:pPr>
            <w:r w:rsidRPr="00A0388A">
              <w:rPr>
                <w:sz w:val="18"/>
                <w:szCs w:val="18"/>
              </w:rPr>
              <w:t>Target for Year 1 of LTP 24-34</w:t>
            </w:r>
          </w:p>
        </w:tc>
        <w:tc>
          <w:tcPr>
            <w:tcW w:w="1361" w:type="dxa"/>
            <w:shd w:val="clear" w:color="auto" w:fill="BFBFBF" w:themeFill="background1" w:themeFillShade="BF"/>
          </w:tcPr>
          <w:p w14:paraId="30E2DF5A" w14:textId="77777777" w:rsidR="00CF55FD" w:rsidRPr="00A0388A" w:rsidRDefault="00CF55FD" w:rsidP="00B738E2">
            <w:pPr>
              <w:rPr>
                <w:b/>
                <w:bCs/>
                <w:sz w:val="18"/>
                <w:szCs w:val="18"/>
                <w:lang w:val="en-US"/>
              </w:rPr>
            </w:pPr>
            <w:r w:rsidRPr="00A0388A">
              <w:rPr>
                <w:sz w:val="18"/>
                <w:szCs w:val="18"/>
              </w:rPr>
              <w:t>Annual Result 2024-2025</w:t>
            </w:r>
          </w:p>
        </w:tc>
        <w:tc>
          <w:tcPr>
            <w:tcW w:w="3651" w:type="dxa"/>
            <w:shd w:val="clear" w:color="auto" w:fill="BFBFBF" w:themeFill="background1" w:themeFillShade="BF"/>
          </w:tcPr>
          <w:p w14:paraId="0A9F5D82" w14:textId="77777777" w:rsidR="00CF55FD" w:rsidRPr="00A0388A" w:rsidRDefault="00CF55FD" w:rsidP="00B738E2">
            <w:pPr>
              <w:rPr>
                <w:b/>
                <w:bCs/>
                <w:sz w:val="18"/>
                <w:szCs w:val="18"/>
                <w:lang w:val="en-US"/>
              </w:rPr>
            </w:pPr>
            <w:r w:rsidRPr="00A0388A">
              <w:rPr>
                <w:sz w:val="18"/>
                <w:szCs w:val="18"/>
              </w:rPr>
              <w:t>Commentary</w:t>
            </w:r>
          </w:p>
        </w:tc>
      </w:tr>
      <w:tr w:rsidR="00A0388A" w:rsidRPr="00E641B6" w14:paraId="683AB9C4" w14:textId="77777777" w:rsidTr="00B738E2">
        <w:trPr>
          <w:cantSplit/>
          <w:trHeight w:val="15"/>
        </w:trPr>
        <w:tc>
          <w:tcPr>
            <w:tcW w:w="1838" w:type="dxa"/>
            <w:shd w:val="clear" w:color="auto" w:fill="FFFFFF" w:themeFill="background1"/>
          </w:tcPr>
          <w:p w14:paraId="20D6EAA6" w14:textId="7D2540BD" w:rsidR="00A0388A" w:rsidRPr="00A0388A" w:rsidRDefault="00A0388A" w:rsidP="00A0388A">
            <w:pPr>
              <w:rPr>
                <w:rFonts w:cs="HelveticaNeueLT Std"/>
                <w:sz w:val="18"/>
                <w:szCs w:val="18"/>
              </w:rPr>
            </w:pPr>
            <w:r w:rsidRPr="00A0388A">
              <w:rPr>
                <w:sz w:val="18"/>
                <w:szCs w:val="18"/>
              </w:rPr>
              <w:t>Number of flooding events that occur in a territorial authority district.</w:t>
            </w:r>
          </w:p>
        </w:tc>
        <w:tc>
          <w:tcPr>
            <w:tcW w:w="1361" w:type="dxa"/>
            <w:shd w:val="clear" w:color="auto" w:fill="FFFFFF" w:themeFill="background1"/>
          </w:tcPr>
          <w:p w14:paraId="6FF49E05" w14:textId="19319749" w:rsidR="00A0388A" w:rsidRPr="00A0388A" w:rsidRDefault="00A0388A" w:rsidP="00A0388A">
            <w:pPr>
              <w:rPr>
                <w:rFonts w:cs="HelveticaNeueLT Std"/>
                <w:sz w:val="18"/>
                <w:szCs w:val="18"/>
              </w:rPr>
            </w:pPr>
            <w:r w:rsidRPr="00A0388A">
              <w:rPr>
                <w:sz w:val="18"/>
                <w:szCs w:val="18"/>
              </w:rPr>
              <w:t>0</w:t>
            </w:r>
          </w:p>
        </w:tc>
        <w:tc>
          <w:tcPr>
            <w:tcW w:w="1361" w:type="dxa"/>
            <w:shd w:val="clear" w:color="auto" w:fill="FFFFFF" w:themeFill="background1"/>
          </w:tcPr>
          <w:p w14:paraId="165F1D1B" w14:textId="1E85927B" w:rsidR="00A0388A" w:rsidRPr="00A0388A" w:rsidRDefault="00A0388A" w:rsidP="00A0388A">
            <w:pPr>
              <w:rPr>
                <w:rFonts w:cs="HelveticaNeueLT Std"/>
                <w:sz w:val="18"/>
                <w:szCs w:val="18"/>
              </w:rPr>
            </w:pPr>
            <w:r w:rsidRPr="00A0388A">
              <w:rPr>
                <w:sz w:val="18"/>
                <w:szCs w:val="18"/>
              </w:rPr>
              <w:t>&lt;7</w:t>
            </w:r>
          </w:p>
        </w:tc>
        <w:tc>
          <w:tcPr>
            <w:tcW w:w="1361" w:type="dxa"/>
            <w:shd w:val="clear" w:color="auto" w:fill="FFFFFF" w:themeFill="background1"/>
          </w:tcPr>
          <w:p w14:paraId="59EC4EE0" w14:textId="05512CB0" w:rsidR="00A0388A" w:rsidRPr="00A0388A" w:rsidRDefault="00A0388A" w:rsidP="00A0388A">
            <w:pPr>
              <w:rPr>
                <w:rFonts w:cs="HelveticaNeueLT Std"/>
                <w:sz w:val="18"/>
                <w:szCs w:val="18"/>
              </w:rPr>
            </w:pPr>
            <w:r w:rsidRPr="00A0388A">
              <w:rPr>
                <w:sz w:val="18"/>
                <w:szCs w:val="18"/>
              </w:rPr>
              <w:t>0</w:t>
            </w:r>
          </w:p>
        </w:tc>
        <w:tc>
          <w:tcPr>
            <w:tcW w:w="3651" w:type="dxa"/>
            <w:shd w:val="clear" w:color="auto" w:fill="FFFFFF" w:themeFill="background1"/>
          </w:tcPr>
          <w:p w14:paraId="2F9326D0" w14:textId="77777777" w:rsidR="00A0388A" w:rsidRPr="00A0388A" w:rsidRDefault="00A0388A" w:rsidP="00A0388A">
            <w:pPr>
              <w:rPr>
                <w:rFonts w:cs="HelveticaNeueLT Std"/>
                <w:b/>
                <w:bCs/>
                <w:sz w:val="18"/>
                <w:szCs w:val="18"/>
              </w:rPr>
            </w:pPr>
            <w:r w:rsidRPr="00A0388A">
              <w:rPr>
                <w:rFonts w:cs="HelveticaNeueLT Std"/>
                <w:b/>
                <w:bCs/>
                <w:sz w:val="18"/>
                <w:szCs w:val="18"/>
              </w:rPr>
              <w:t>Target achieved.</w:t>
            </w:r>
          </w:p>
          <w:p w14:paraId="52AA3EDE" w14:textId="6D3F46FC" w:rsidR="00A0388A" w:rsidRPr="00A0388A" w:rsidRDefault="00A0388A" w:rsidP="00A0388A">
            <w:pPr>
              <w:rPr>
                <w:rFonts w:cs="HelveticaNeueLT Std"/>
                <w:sz w:val="18"/>
                <w:szCs w:val="18"/>
              </w:rPr>
            </w:pPr>
            <w:r w:rsidRPr="00A0388A">
              <w:rPr>
                <w:rFonts w:cs="HelveticaNeueLT Std"/>
                <w:sz w:val="18"/>
                <w:szCs w:val="18"/>
              </w:rPr>
              <w:t>No flooding events impacting habitable floors were recorded during the reporting period.</w:t>
            </w:r>
          </w:p>
        </w:tc>
      </w:tr>
      <w:tr w:rsidR="00A0388A" w:rsidRPr="00E641B6" w14:paraId="00251470" w14:textId="77777777" w:rsidTr="00B738E2">
        <w:trPr>
          <w:cantSplit/>
          <w:trHeight w:val="15"/>
        </w:trPr>
        <w:tc>
          <w:tcPr>
            <w:tcW w:w="1838" w:type="dxa"/>
            <w:shd w:val="clear" w:color="auto" w:fill="FFFFFF" w:themeFill="background1"/>
          </w:tcPr>
          <w:p w14:paraId="15F77176" w14:textId="162C11AA" w:rsidR="00A0388A" w:rsidRPr="00A0388A" w:rsidRDefault="00A0388A" w:rsidP="00A0388A">
            <w:pPr>
              <w:rPr>
                <w:rFonts w:cs="HelveticaNeueLT Std"/>
                <w:sz w:val="18"/>
                <w:szCs w:val="18"/>
              </w:rPr>
            </w:pPr>
            <w:r w:rsidRPr="00A0388A">
              <w:rPr>
                <w:sz w:val="18"/>
                <w:szCs w:val="18"/>
              </w:rPr>
              <w:t xml:space="preserve">For each flooding event, the number of habitable floors affected (expressed per 1,000 properties connected to the territorial </w:t>
            </w:r>
            <w:proofErr w:type="gramStart"/>
            <w:r w:rsidRPr="00A0388A">
              <w:rPr>
                <w:sz w:val="18"/>
                <w:szCs w:val="18"/>
              </w:rPr>
              <w:t>authorities</w:t>
            </w:r>
            <w:proofErr w:type="gramEnd"/>
            <w:r w:rsidRPr="00A0388A">
              <w:rPr>
                <w:sz w:val="18"/>
                <w:szCs w:val="18"/>
              </w:rPr>
              <w:t xml:space="preserve"> stormwater system).</w:t>
            </w:r>
          </w:p>
        </w:tc>
        <w:tc>
          <w:tcPr>
            <w:tcW w:w="1361" w:type="dxa"/>
            <w:shd w:val="clear" w:color="auto" w:fill="FFFFFF" w:themeFill="background1"/>
          </w:tcPr>
          <w:p w14:paraId="50C8836C" w14:textId="33AE634D" w:rsidR="00A0388A" w:rsidRPr="00A0388A" w:rsidRDefault="00A0388A" w:rsidP="00A0388A">
            <w:pPr>
              <w:rPr>
                <w:rFonts w:cs="HelveticaNeueLT Std"/>
                <w:sz w:val="18"/>
                <w:szCs w:val="18"/>
              </w:rPr>
            </w:pPr>
            <w:r w:rsidRPr="00A0388A">
              <w:rPr>
                <w:sz w:val="18"/>
                <w:szCs w:val="18"/>
              </w:rPr>
              <w:t>0</w:t>
            </w:r>
          </w:p>
        </w:tc>
        <w:tc>
          <w:tcPr>
            <w:tcW w:w="1361" w:type="dxa"/>
            <w:shd w:val="clear" w:color="auto" w:fill="FFFFFF" w:themeFill="background1"/>
          </w:tcPr>
          <w:p w14:paraId="3766B1FB" w14:textId="442451D2" w:rsidR="00A0388A" w:rsidRPr="00A0388A" w:rsidRDefault="00A0388A" w:rsidP="00A0388A">
            <w:pPr>
              <w:rPr>
                <w:rFonts w:cs="HelveticaNeueLT Std"/>
                <w:sz w:val="18"/>
                <w:szCs w:val="18"/>
              </w:rPr>
            </w:pPr>
            <w:r w:rsidRPr="00A0388A">
              <w:rPr>
                <w:sz w:val="18"/>
                <w:szCs w:val="18"/>
              </w:rPr>
              <w:t>&lt;2 per 1,000 properties</w:t>
            </w:r>
          </w:p>
        </w:tc>
        <w:tc>
          <w:tcPr>
            <w:tcW w:w="1361" w:type="dxa"/>
            <w:shd w:val="clear" w:color="auto" w:fill="FFFFFF" w:themeFill="background1"/>
          </w:tcPr>
          <w:p w14:paraId="79C6CBA9" w14:textId="4063BEC1" w:rsidR="00A0388A" w:rsidRPr="00A0388A" w:rsidRDefault="00A0388A" w:rsidP="00A0388A">
            <w:pPr>
              <w:rPr>
                <w:rFonts w:cs="HelveticaNeueLT Std"/>
                <w:sz w:val="18"/>
                <w:szCs w:val="18"/>
              </w:rPr>
            </w:pPr>
            <w:r w:rsidRPr="00A0388A">
              <w:rPr>
                <w:sz w:val="18"/>
                <w:szCs w:val="18"/>
              </w:rPr>
              <w:t>0</w:t>
            </w:r>
          </w:p>
        </w:tc>
        <w:tc>
          <w:tcPr>
            <w:tcW w:w="3651" w:type="dxa"/>
            <w:shd w:val="clear" w:color="auto" w:fill="FFFFFF" w:themeFill="background1"/>
          </w:tcPr>
          <w:p w14:paraId="5A801EA9" w14:textId="0415A8C8" w:rsidR="00A0388A" w:rsidRPr="00A0388A" w:rsidRDefault="00A0388A" w:rsidP="00A0388A">
            <w:pPr>
              <w:rPr>
                <w:rFonts w:cs="HelveticaNeueLT Std"/>
                <w:b/>
                <w:bCs/>
                <w:sz w:val="18"/>
                <w:szCs w:val="18"/>
              </w:rPr>
            </w:pPr>
            <w:r w:rsidRPr="00A0388A">
              <w:rPr>
                <w:rFonts w:cs="HelveticaNeueLT Std"/>
                <w:b/>
                <w:bCs/>
                <w:sz w:val="18"/>
                <w:szCs w:val="18"/>
              </w:rPr>
              <w:t>Target achieved.</w:t>
            </w:r>
          </w:p>
        </w:tc>
      </w:tr>
      <w:tr w:rsidR="00A0388A" w:rsidRPr="00E641B6" w14:paraId="4F4DBD5B" w14:textId="77777777" w:rsidTr="00B738E2">
        <w:trPr>
          <w:cantSplit/>
          <w:trHeight w:val="15"/>
        </w:trPr>
        <w:tc>
          <w:tcPr>
            <w:tcW w:w="1838" w:type="dxa"/>
            <w:shd w:val="clear" w:color="auto" w:fill="FFFFFF" w:themeFill="background1"/>
          </w:tcPr>
          <w:p w14:paraId="3C94408C" w14:textId="77777777" w:rsidR="00A0388A" w:rsidRPr="00A0388A" w:rsidRDefault="00A0388A" w:rsidP="00A0388A">
            <w:pPr>
              <w:rPr>
                <w:rFonts w:cs="HelveticaNeueLT Std"/>
                <w:sz w:val="18"/>
                <w:szCs w:val="18"/>
              </w:rPr>
            </w:pPr>
            <w:r w:rsidRPr="00A0388A">
              <w:rPr>
                <w:rFonts w:cs="HelveticaNeueLT Std"/>
                <w:sz w:val="18"/>
                <w:szCs w:val="18"/>
              </w:rPr>
              <w:t>Compliance with the territorial authority’s resource consents for discharge from its stormwater system, measured by the number of:</w:t>
            </w:r>
          </w:p>
          <w:p w14:paraId="1E7D1680" w14:textId="43E8A99C" w:rsidR="00A0388A" w:rsidRPr="00A0388A" w:rsidRDefault="00A0388A" w:rsidP="00A0388A">
            <w:pPr>
              <w:pStyle w:val="ListParagraph"/>
              <w:numPr>
                <w:ilvl w:val="0"/>
                <w:numId w:val="29"/>
              </w:numPr>
              <w:rPr>
                <w:rFonts w:cs="HelveticaNeueLT Std"/>
                <w:sz w:val="18"/>
                <w:szCs w:val="18"/>
              </w:rPr>
            </w:pPr>
            <w:r w:rsidRPr="00A0388A">
              <w:rPr>
                <w:rFonts w:cs="HelveticaNeueLT Std"/>
                <w:sz w:val="18"/>
                <w:szCs w:val="18"/>
              </w:rPr>
              <w:t>abatement notices</w:t>
            </w:r>
          </w:p>
          <w:p w14:paraId="3FD4E598" w14:textId="73CD68AB" w:rsidR="00A0388A" w:rsidRPr="00A0388A" w:rsidRDefault="00A0388A" w:rsidP="00A0388A">
            <w:pPr>
              <w:pStyle w:val="ListParagraph"/>
              <w:numPr>
                <w:ilvl w:val="0"/>
                <w:numId w:val="29"/>
              </w:numPr>
              <w:rPr>
                <w:rFonts w:cs="HelveticaNeueLT Std"/>
                <w:sz w:val="18"/>
                <w:szCs w:val="18"/>
              </w:rPr>
            </w:pPr>
            <w:r w:rsidRPr="00A0388A">
              <w:rPr>
                <w:rFonts w:cs="HelveticaNeueLT Std"/>
                <w:sz w:val="18"/>
                <w:szCs w:val="18"/>
              </w:rPr>
              <w:t>infringement notices</w:t>
            </w:r>
          </w:p>
          <w:p w14:paraId="0DE3828A" w14:textId="77777777" w:rsidR="00A0388A" w:rsidRPr="00A0388A" w:rsidRDefault="00A0388A" w:rsidP="00A0388A">
            <w:pPr>
              <w:pStyle w:val="ListParagraph"/>
              <w:numPr>
                <w:ilvl w:val="0"/>
                <w:numId w:val="29"/>
              </w:numPr>
              <w:rPr>
                <w:rFonts w:cs="HelveticaNeueLT Std"/>
                <w:sz w:val="18"/>
                <w:szCs w:val="18"/>
              </w:rPr>
            </w:pPr>
            <w:r w:rsidRPr="00A0388A">
              <w:rPr>
                <w:rFonts w:cs="HelveticaNeueLT Std"/>
                <w:sz w:val="18"/>
                <w:szCs w:val="18"/>
              </w:rPr>
              <w:t>enforcement orders</w:t>
            </w:r>
          </w:p>
          <w:p w14:paraId="47C6D282" w14:textId="6C13AC17" w:rsidR="00A0388A" w:rsidRPr="00A0388A" w:rsidRDefault="00A0388A" w:rsidP="00A0388A">
            <w:pPr>
              <w:pStyle w:val="ListParagraph"/>
              <w:numPr>
                <w:ilvl w:val="0"/>
                <w:numId w:val="29"/>
              </w:numPr>
              <w:rPr>
                <w:rFonts w:cs="HelveticaNeueLT Std"/>
                <w:sz w:val="18"/>
                <w:szCs w:val="18"/>
              </w:rPr>
            </w:pPr>
            <w:r w:rsidRPr="00A0388A">
              <w:rPr>
                <w:rFonts w:cs="HelveticaNeueLT Std"/>
                <w:sz w:val="18"/>
                <w:szCs w:val="18"/>
              </w:rPr>
              <w:t>successful prosecutions, received by the territorial authority in relation those resource consents.</w:t>
            </w:r>
          </w:p>
        </w:tc>
        <w:tc>
          <w:tcPr>
            <w:tcW w:w="1361" w:type="dxa"/>
            <w:shd w:val="clear" w:color="auto" w:fill="FFFFFF" w:themeFill="background1"/>
          </w:tcPr>
          <w:p w14:paraId="31869AF2" w14:textId="327C2CFE" w:rsidR="00A0388A" w:rsidRPr="00A0388A" w:rsidRDefault="00A0388A" w:rsidP="00A0388A">
            <w:pPr>
              <w:rPr>
                <w:rFonts w:cs="HelveticaNeueLT Std"/>
                <w:sz w:val="18"/>
                <w:szCs w:val="18"/>
              </w:rPr>
            </w:pPr>
            <w:r w:rsidRPr="00A0388A">
              <w:rPr>
                <w:sz w:val="18"/>
                <w:szCs w:val="18"/>
              </w:rPr>
              <w:t>100%</w:t>
            </w:r>
          </w:p>
        </w:tc>
        <w:tc>
          <w:tcPr>
            <w:tcW w:w="1361" w:type="dxa"/>
            <w:shd w:val="clear" w:color="auto" w:fill="FFFFFF" w:themeFill="background1"/>
          </w:tcPr>
          <w:p w14:paraId="13F307F7" w14:textId="60D6E895" w:rsidR="00A0388A" w:rsidRPr="00A0388A" w:rsidRDefault="00A0388A" w:rsidP="00A0388A">
            <w:pPr>
              <w:rPr>
                <w:rFonts w:cs="HelveticaNeueLT Std"/>
                <w:sz w:val="18"/>
                <w:szCs w:val="18"/>
              </w:rPr>
            </w:pPr>
            <w:r w:rsidRPr="00A0388A">
              <w:rPr>
                <w:sz w:val="18"/>
                <w:szCs w:val="18"/>
              </w:rPr>
              <w:t>100%</w:t>
            </w:r>
          </w:p>
        </w:tc>
        <w:tc>
          <w:tcPr>
            <w:tcW w:w="1361" w:type="dxa"/>
            <w:shd w:val="clear" w:color="auto" w:fill="FFFFFF" w:themeFill="background1"/>
          </w:tcPr>
          <w:p w14:paraId="6D853E3C" w14:textId="2FA593F1" w:rsidR="00A0388A" w:rsidRPr="00A0388A" w:rsidRDefault="00A0388A" w:rsidP="00A0388A">
            <w:pPr>
              <w:rPr>
                <w:rFonts w:cs="HelveticaNeueLT Std"/>
                <w:sz w:val="18"/>
                <w:szCs w:val="18"/>
              </w:rPr>
            </w:pPr>
            <w:r w:rsidRPr="00A0388A">
              <w:rPr>
                <w:sz w:val="18"/>
                <w:szCs w:val="18"/>
              </w:rPr>
              <w:t>100%</w:t>
            </w:r>
          </w:p>
        </w:tc>
        <w:tc>
          <w:tcPr>
            <w:tcW w:w="3651" w:type="dxa"/>
            <w:shd w:val="clear" w:color="auto" w:fill="FFFFFF" w:themeFill="background1"/>
          </w:tcPr>
          <w:p w14:paraId="4DF8B2C8" w14:textId="77777777" w:rsidR="00A0388A" w:rsidRPr="00A0388A" w:rsidRDefault="00A0388A" w:rsidP="00A0388A">
            <w:pPr>
              <w:rPr>
                <w:rFonts w:cs="HelveticaNeueLT Std"/>
                <w:b/>
                <w:bCs/>
                <w:sz w:val="18"/>
                <w:szCs w:val="18"/>
              </w:rPr>
            </w:pPr>
            <w:r w:rsidRPr="00A0388A">
              <w:rPr>
                <w:rFonts w:cs="HelveticaNeueLT Std"/>
                <w:b/>
                <w:bCs/>
                <w:sz w:val="18"/>
                <w:szCs w:val="18"/>
              </w:rPr>
              <w:t>Target achieved.</w:t>
            </w:r>
          </w:p>
          <w:p w14:paraId="2BB163C8" w14:textId="74A2C42B" w:rsidR="00A0388A" w:rsidRPr="00A0388A" w:rsidRDefault="00A0388A" w:rsidP="00A0388A">
            <w:pPr>
              <w:rPr>
                <w:rFonts w:cs="HelveticaNeueLT Std"/>
                <w:sz w:val="18"/>
                <w:szCs w:val="18"/>
              </w:rPr>
            </w:pPr>
            <w:r w:rsidRPr="00A0388A">
              <w:rPr>
                <w:rFonts w:cs="HelveticaNeueLT Std"/>
                <w:sz w:val="18"/>
                <w:szCs w:val="18"/>
              </w:rPr>
              <w:t>No enforcement action was taken in relation to stormwater discharge consents in the period.</w:t>
            </w:r>
          </w:p>
        </w:tc>
      </w:tr>
      <w:tr w:rsidR="00A0388A" w:rsidRPr="00E641B6" w14:paraId="4417340A" w14:textId="77777777" w:rsidTr="00B738E2">
        <w:trPr>
          <w:cantSplit/>
          <w:trHeight w:val="15"/>
        </w:trPr>
        <w:tc>
          <w:tcPr>
            <w:tcW w:w="1838" w:type="dxa"/>
            <w:shd w:val="clear" w:color="auto" w:fill="FFFFFF" w:themeFill="background1"/>
          </w:tcPr>
          <w:p w14:paraId="21489CD5" w14:textId="40F9CAE5" w:rsidR="00A0388A" w:rsidRPr="00A0388A" w:rsidRDefault="00A0388A" w:rsidP="00A0388A">
            <w:pPr>
              <w:rPr>
                <w:rFonts w:cs="HelveticaNeueLT Std"/>
                <w:sz w:val="18"/>
                <w:szCs w:val="18"/>
              </w:rPr>
            </w:pPr>
            <w:r w:rsidRPr="00A0388A">
              <w:rPr>
                <w:sz w:val="18"/>
                <w:szCs w:val="18"/>
              </w:rPr>
              <w:t>Median response time between the time of notification and the time when service personnel reach the site when habitable floors are affected by flooding resulting from faults in a municipal stormwater system.</w:t>
            </w:r>
          </w:p>
        </w:tc>
        <w:tc>
          <w:tcPr>
            <w:tcW w:w="1361" w:type="dxa"/>
            <w:shd w:val="clear" w:color="auto" w:fill="FFFFFF" w:themeFill="background1"/>
          </w:tcPr>
          <w:p w14:paraId="79B54FA6" w14:textId="49E98443" w:rsidR="00A0388A" w:rsidRPr="00A0388A" w:rsidRDefault="00A0388A" w:rsidP="00A0388A">
            <w:pPr>
              <w:rPr>
                <w:rFonts w:cs="HelveticaNeueLT Std"/>
                <w:sz w:val="18"/>
                <w:szCs w:val="18"/>
              </w:rPr>
            </w:pPr>
            <w:r w:rsidRPr="00A0388A">
              <w:rPr>
                <w:sz w:val="18"/>
                <w:szCs w:val="18"/>
              </w:rPr>
              <w:t>N/A</w:t>
            </w:r>
          </w:p>
        </w:tc>
        <w:tc>
          <w:tcPr>
            <w:tcW w:w="1361" w:type="dxa"/>
            <w:shd w:val="clear" w:color="auto" w:fill="FFFFFF" w:themeFill="background1"/>
          </w:tcPr>
          <w:p w14:paraId="3BBD7CF4" w14:textId="1E83ECB6" w:rsidR="00A0388A" w:rsidRPr="00A0388A" w:rsidRDefault="00A0388A" w:rsidP="00A0388A">
            <w:pPr>
              <w:rPr>
                <w:rFonts w:cs="HelveticaNeueLT Std"/>
                <w:sz w:val="18"/>
                <w:szCs w:val="18"/>
              </w:rPr>
            </w:pPr>
            <w:r w:rsidRPr="00A0388A">
              <w:rPr>
                <w:sz w:val="18"/>
                <w:szCs w:val="18"/>
              </w:rPr>
              <w:t>&lt;3hours</w:t>
            </w:r>
          </w:p>
        </w:tc>
        <w:tc>
          <w:tcPr>
            <w:tcW w:w="1361" w:type="dxa"/>
            <w:shd w:val="clear" w:color="auto" w:fill="FFFFFF" w:themeFill="background1"/>
          </w:tcPr>
          <w:p w14:paraId="6F6F7AF9" w14:textId="461CCAF3" w:rsidR="00A0388A" w:rsidRPr="00A0388A" w:rsidRDefault="00A0388A" w:rsidP="00A0388A">
            <w:pPr>
              <w:rPr>
                <w:rFonts w:cs="HelveticaNeueLT Std"/>
                <w:sz w:val="18"/>
                <w:szCs w:val="18"/>
              </w:rPr>
            </w:pPr>
            <w:r w:rsidRPr="00A0388A">
              <w:rPr>
                <w:sz w:val="18"/>
                <w:szCs w:val="18"/>
              </w:rPr>
              <w:t>N/A</w:t>
            </w:r>
          </w:p>
        </w:tc>
        <w:tc>
          <w:tcPr>
            <w:tcW w:w="3651" w:type="dxa"/>
            <w:shd w:val="clear" w:color="auto" w:fill="FFFFFF" w:themeFill="background1"/>
          </w:tcPr>
          <w:p w14:paraId="01B22F7F" w14:textId="77777777" w:rsidR="00A0388A" w:rsidRPr="00A0388A" w:rsidRDefault="00A0388A" w:rsidP="00A0388A">
            <w:pPr>
              <w:rPr>
                <w:rFonts w:cs="HelveticaNeueLT Std"/>
                <w:b/>
                <w:bCs/>
                <w:sz w:val="18"/>
                <w:szCs w:val="18"/>
              </w:rPr>
            </w:pPr>
            <w:r w:rsidRPr="00A0388A">
              <w:rPr>
                <w:rFonts w:cs="HelveticaNeueLT Std"/>
                <w:b/>
                <w:bCs/>
                <w:sz w:val="18"/>
                <w:szCs w:val="18"/>
              </w:rPr>
              <w:t>Target achieved.</w:t>
            </w:r>
          </w:p>
          <w:p w14:paraId="22CD9699" w14:textId="1148D532" w:rsidR="00A0388A" w:rsidRPr="00A0388A" w:rsidRDefault="00A0388A" w:rsidP="00A0388A">
            <w:pPr>
              <w:rPr>
                <w:rFonts w:cs="HelveticaNeueLT Std"/>
                <w:sz w:val="18"/>
                <w:szCs w:val="18"/>
              </w:rPr>
            </w:pPr>
            <w:r w:rsidRPr="00A0388A">
              <w:rPr>
                <w:rFonts w:cs="HelveticaNeueLT Std"/>
                <w:sz w:val="18"/>
                <w:szCs w:val="18"/>
              </w:rPr>
              <w:t>No flooding events impacting habitable floors were recorded during the reporting period.</w:t>
            </w:r>
          </w:p>
        </w:tc>
      </w:tr>
      <w:tr w:rsidR="00A0388A" w:rsidRPr="00E641B6" w14:paraId="479545B9" w14:textId="77777777" w:rsidTr="00B738E2">
        <w:trPr>
          <w:cantSplit/>
          <w:trHeight w:val="15"/>
        </w:trPr>
        <w:tc>
          <w:tcPr>
            <w:tcW w:w="1838" w:type="dxa"/>
            <w:shd w:val="clear" w:color="auto" w:fill="FFFFFF" w:themeFill="background1"/>
          </w:tcPr>
          <w:p w14:paraId="50CE6BF5" w14:textId="59A29508" w:rsidR="00A0388A" w:rsidRPr="00A0388A" w:rsidRDefault="00A0388A" w:rsidP="00A0388A">
            <w:pPr>
              <w:rPr>
                <w:rFonts w:cs="HelveticaNeueLT Std"/>
                <w:sz w:val="18"/>
                <w:szCs w:val="18"/>
              </w:rPr>
            </w:pPr>
            <w:r w:rsidRPr="00A0388A">
              <w:rPr>
                <w:sz w:val="18"/>
                <w:szCs w:val="18"/>
              </w:rPr>
              <w:lastRenderedPageBreak/>
              <w:t>The number of complaints received by a territorial authority about the performance of its stormwater system, expressed per 1,000 properties connected to the territorial authority’s stormwater system.</w:t>
            </w:r>
          </w:p>
        </w:tc>
        <w:tc>
          <w:tcPr>
            <w:tcW w:w="1361" w:type="dxa"/>
            <w:shd w:val="clear" w:color="auto" w:fill="FFFFFF" w:themeFill="background1"/>
          </w:tcPr>
          <w:p w14:paraId="1A107D2F" w14:textId="4D3C3C0E" w:rsidR="00A0388A" w:rsidRPr="00A0388A" w:rsidRDefault="00A0388A" w:rsidP="00A0388A">
            <w:pPr>
              <w:rPr>
                <w:rFonts w:cs="HelveticaNeueLT Std"/>
                <w:sz w:val="18"/>
                <w:szCs w:val="18"/>
              </w:rPr>
            </w:pPr>
            <w:r w:rsidRPr="00A0388A">
              <w:rPr>
                <w:sz w:val="18"/>
                <w:szCs w:val="18"/>
              </w:rPr>
              <w:t>5.98</w:t>
            </w:r>
          </w:p>
        </w:tc>
        <w:tc>
          <w:tcPr>
            <w:tcW w:w="1361" w:type="dxa"/>
            <w:shd w:val="clear" w:color="auto" w:fill="FFFFFF" w:themeFill="background1"/>
          </w:tcPr>
          <w:p w14:paraId="059F2C20" w14:textId="1AD8D15C" w:rsidR="00A0388A" w:rsidRPr="00A0388A" w:rsidRDefault="00A0388A" w:rsidP="00A0388A">
            <w:pPr>
              <w:rPr>
                <w:rFonts w:cs="HelveticaNeueLT Std"/>
                <w:sz w:val="18"/>
                <w:szCs w:val="18"/>
              </w:rPr>
            </w:pPr>
            <w:r w:rsidRPr="00A0388A">
              <w:rPr>
                <w:sz w:val="18"/>
                <w:szCs w:val="18"/>
              </w:rPr>
              <w:t>&lt;5 per 1,000 properties</w:t>
            </w:r>
          </w:p>
        </w:tc>
        <w:tc>
          <w:tcPr>
            <w:tcW w:w="1361" w:type="dxa"/>
            <w:shd w:val="clear" w:color="auto" w:fill="FFFFFF" w:themeFill="background1"/>
          </w:tcPr>
          <w:p w14:paraId="466C7601" w14:textId="0AE47BF5" w:rsidR="00A0388A" w:rsidRPr="00A0388A" w:rsidRDefault="00A0388A" w:rsidP="00A0388A">
            <w:pPr>
              <w:rPr>
                <w:rFonts w:cs="HelveticaNeueLT Std"/>
                <w:sz w:val="18"/>
                <w:szCs w:val="18"/>
              </w:rPr>
            </w:pPr>
            <w:r w:rsidRPr="00A0388A">
              <w:rPr>
                <w:sz w:val="18"/>
                <w:szCs w:val="18"/>
              </w:rPr>
              <w:t>6.79</w:t>
            </w:r>
          </w:p>
        </w:tc>
        <w:tc>
          <w:tcPr>
            <w:tcW w:w="3651" w:type="dxa"/>
            <w:shd w:val="clear" w:color="auto" w:fill="FFFFFF" w:themeFill="background1"/>
          </w:tcPr>
          <w:p w14:paraId="2BD4C1BA" w14:textId="2CB270EB" w:rsidR="00A0388A" w:rsidRPr="00A0388A" w:rsidRDefault="00A0388A" w:rsidP="00A0388A">
            <w:pPr>
              <w:rPr>
                <w:rFonts w:cs="HelveticaNeueLT Std"/>
                <w:b/>
                <w:bCs/>
                <w:sz w:val="18"/>
                <w:szCs w:val="18"/>
              </w:rPr>
            </w:pPr>
            <w:r w:rsidRPr="00A0388A">
              <w:rPr>
                <w:rFonts w:cs="HelveticaNeueLT Std"/>
                <w:b/>
                <w:bCs/>
                <w:sz w:val="18"/>
                <w:szCs w:val="18"/>
              </w:rPr>
              <w:t>Target not achieved.</w:t>
            </w:r>
          </w:p>
          <w:p w14:paraId="49F7EEE9" w14:textId="21E94167" w:rsidR="00A0388A" w:rsidRPr="00A0388A" w:rsidRDefault="00A0388A" w:rsidP="00A0388A">
            <w:pPr>
              <w:rPr>
                <w:rFonts w:cs="HelveticaNeueLT Std"/>
                <w:sz w:val="18"/>
                <w:szCs w:val="18"/>
              </w:rPr>
            </w:pPr>
            <w:r w:rsidRPr="00A0388A">
              <w:rPr>
                <w:rFonts w:cs="HelveticaNeueLT Std"/>
                <w:sz w:val="18"/>
                <w:szCs w:val="18"/>
              </w:rPr>
              <w:t>A total of 220 stormwater related complaints was received across the 2024/2025 year. This represents 6.79 complaints per 1,000 properties and does not achieve the target set. The performance in 2024/2025 reflects a slight deterioration on the previous year. The operational team continues to review trends in these requests to identify opportunities for improving results in this area through amended preventative maintenance programmes.</w:t>
            </w:r>
          </w:p>
        </w:tc>
      </w:tr>
    </w:tbl>
    <w:p w14:paraId="4C08EA4F" w14:textId="77777777" w:rsidR="00A0388A" w:rsidRPr="00E641B6" w:rsidRDefault="00A0388A">
      <w:pPr>
        <w:rPr>
          <w:sz w:val="24"/>
          <w:lang w:val="en-GB"/>
        </w:rPr>
      </w:pPr>
      <w:r w:rsidRPr="00E641B6">
        <w:rPr>
          <w:sz w:val="24"/>
          <w:lang w:val="en-GB"/>
        </w:rPr>
        <w:br w:type="page"/>
      </w:r>
    </w:p>
    <w:p w14:paraId="4FF80C99" w14:textId="664E47BE" w:rsidR="00A0388A" w:rsidRDefault="00A0388A" w:rsidP="00A0388A">
      <w:pPr>
        <w:pStyle w:val="Heading2"/>
        <w:rPr>
          <w:lang w:val="en-GB"/>
        </w:rPr>
      </w:pPr>
      <w:bookmarkStart w:id="39" w:name="_Toc211422651"/>
      <w:r w:rsidRPr="00A0388A">
        <w:rPr>
          <w:lang w:val="en-GB"/>
        </w:rPr>
        <w:lastRenderedPageBreak/>
        <w:t>Transport, including roading, parking and footpaths</w:t>
      </w:r>
      <w:r>
        <w:rPr>
          <w:lang w:val="en-GB"/>
        </w:rPr>
        <w:t xml:space="preserve"> |</w:t>
      </w:r>
      <w:r w:rsidRPr="00A0388A">
        <w:rPr>
          <w:lang w:val="en-GB"/>
        </w:rPr>
        <w:t xml:space="preserve"> Waka</w:t>
      </w:r>
      <w:bookmarkEnd w:id="39"/>
    </w:p>
    <w:p w14:paraId="7A083B3F" w14:textId="77777777" w:rsidR="00A0388A" w:rsidRPr="007B27E4" w:rsidRDefault="00A0388A" w:rsidP="00A0388A">
      <w:pPr>
        <w:pStyle w:val="Heading3"/>
      </w:pPr>
      <w:bookmarkStart w:id="40" w:name="_Toc211422652"/>
      <w:r w:rsidRPr="007B27E4">
        <w:t>How we performed</w:t>
      </w:r>
      <w:bookmarkEnd w:id="40"/>
    </w:p>
    <w:p w14:paraId="28D5CEC8" w14:textId="77777777" w:rsidR="00A0388A" w:rsidRPr="00E641B6" w:rsidRDefault="00A0388A" w:rsidP="00A0388A">
      <w:pPr>
        <w:rPr>
          <w:sz w:val="24"/>
          <w:lang w:val="en-GB"/>
        </w:rPr>
      </w:pPr>
      <w:r w:rsidRPr="00E641B6">
        <w:rPr>
          <w:sz w:val="24"/>
          <w:lang w:val="en-GB"/>
        </w:rPr>
        <w:t>How QLDC performed against its Key Performance Indicators (KPIs).</w:t>
      </w:r>
    </w:p>
    <w:tbl>
      <w:tblPr>
        <w:tblStyle w:val="TableGrid"/>
        <w:tblW w:w="9572" w:type="dxa"/>
        <w:tblLayout w:type="fixed"/>
        <w:tblCellMar>
          <w:top w:w="115" w:type="dxa"/>
          <w:bottom w:w="115" w:type="dxa"/>
        </w:tblCellMar>
        <w:tblLook w:val="04A0" w:firstRow="1" w:lastRow="0" w:firstColumn="1" w:lastColumn="0" w:noHBand="0" w:noVBand="1"/>
      </w:tblPr>
      <w:tblGrid>
        <w:gridCol w:w="1838"/>
        <w:gridCol w:w="1361"/>
        <w:gridCol w:w="1361"/>
        <w:gridCol w:w="1361"/>
        <w:gridCol w:w="3651"/>
      </w:tblGrid>
      <w:tr w:rsidR="00A0388A" w:rsidRPr="00E641B6" w14:paraId="0D48A0B5" w14:textId="77777777" w:rsidTr="00B738E2">
        <w:trPr>
          <w:cantSplit/>
        </w:trPr>
        <w:tc>
          <w:tcPr>
            <w:tcW w:w="1838" w:type="dxa"/>
            <w:shd w:val="clear" w:color="auto" w:fill="BFBFBF" w:themeFill="background1" w:themeFillShade="BF"/>
          </w:tcPr>
          <w:p w14:paraId="2D6AA1E7" w14:textId="77777777" w:rsidR="00A0388A" w:rsidRPr="00A0388A" w:rsidRDefault="00A0388A" w:rsidP="00B738E2">
            <w:pPr>
              <w:rPr>
                <w:b/>
                <w:bCs/>
                <w:sz w:val="18"/>
                <w:szCs w:val="18"/>
                <w:lang w:val="en-US"/>
              </w:rPr>
            </w:pPr>
            <w:r w:rsidRPr="00A0388A">
              <w:rPr>
                <w:sz w:val="18"/>
                <w:szCs w:val="18"/>
              </w:rPr>
              <w:t>KPIs</w:t>
            </w:r>
          </w:p>
        </w:tc>
        <w:tc>
          <w:tcPr>
            <w:tcW w:w="1361" w:type="dxa"/>
            <w:shd w:val="clear" w:color="auto" w:fill="BFBFBF" w:themeFill="background1" w:themeFillShade="BF"/>
          </w:tcPr>
          <w:p w14:paraId="6ED1ED30" w14:textId="77777777" w:rsidR="00A0388A" w:rsidRPr="00A0388A" w:rsidRDefault="00A0388A" w:rsidP="00B738E2">
            <w:pPr>
              <w:rPr>
                <w:b/>
                <w:bCs/>
                <w:sz w:val="18"/>
                <w:szCs w:val="18"/>
                <w:lang w:val="en-US"/>
              </w:rPr>
            </w:pPr>
            <w:r w:rsidRPr="00A0388A">
              <w:rPr>
                <w:sz w:val="18"/>
                <w:szCs w:val="18"/>
              </w:rPr>
              <w:t xml:space="preserve">Baseline Performance </w:t>
            </w:r>
            <w:proofErr w:type="gramStart"/>
            <w:r w:rsidRPr="00A0388A">
              <w:rPr>
                <w:sz w:val="18"/>
                <w:szCs w:val="18"/>
              </w:rPr>
              <w:t>at</w:t>
            </w:r>
            <w:proofErr w:type="gramEnd"/>
            <w:r w:rsidRPr="00A0388A">
              <w:rPr>
                <w:sz w:val="18"/>
                <w:szCs w:val="18"/>
              </w:rPr>
              <w:t xml:space="preserve"> 30 June 2024</w:t>
            </w:r>
          </w:p>
        </w:tc>
        <w:tc>
          <w:tcPr>
            <w:tcW w:w="1361" w:type="dxa"/>
            <w:shd w:val="clear" w:color="auto" w:fill="BFBFBF" w:themeFill="background1" w:themeFillShade="BF"/>
          </w:tcPr>
          <w:p w14:paraId="06853537" w14:textId="77777777" w:rsidR="00A0388A" w:rsidRPr="00A0388A" w:rsidRDefault="00A0388A" w:rsidP="00B738E2">
            <w:pPr>
              <w:rPr>
                <w:b/>
                <w:bCs/>
                <w:sz w:val="18"/>
                <w:szCs w:val="18"/>
                <w:lang w:val="en-US"/>
              </w:rPr>
            </w:pPr>
            <w:r w:rsidRPr="00A0388A">
              <w:rPr>
                <w:sz w:val="18"/>
                <w:szCs w:val="18"/>
              </w:rPr>
              <w:t>Target for Year 1 of LTP 24-34</w:t>
            </w:r>
          </w:p>
        </w:tc>
        <w:tc>
          <w:tcPr>
            <w:tcW w:w="1361" w:type="dxa"/>
            <w:shd w:val="clear" w:color="auto" w:fill="BFBFBF" w:themeFill="background1" w:themeFillShade="BF"/>
          </w:tcPr>
          <w:p w14:paraId="3F572C50" w14:textId="77777777" w:rsidR="00A0388A" w:rsidRPr="00A0388A" w:rsidRDefault="00A0388A" w:rsidP="00B738E2">
            <w:pPr>
              <w:rPr>
                <w:b/>
                <w:bCs/>
                <w:sz w:val="18"/>
                <w:szCs w:val="18"/>
                <w:lang w:val="en-US"/>
              </w:rPr>
            </w:pPr>
            <w:r w:rsidRPr="00A0388A">
              <w:rPr>
                <w:sz w:val="18"/>
                <w:szCs w:val="18"/>
              </w:rPr>
              <w:t>Annual Result 2024-2025</w:t>
            </w:r>
          </w:p>
        </w:tc>
        <w:tc>
          <w:tcPr>
            <w:tcW w:w="3651" w:type="dxa"/>
            <w:shd w:val="clear" w:color="auto" w:fill="BFBFBF" w:themeFill="background1" w:themeFillShade="BF"/>
          </w:tcPr>
          <w:p w14:paraId="0E4BCEC9" w14:textId="77777777" w:rsidR="00A0388A" w:rsidRPr="00A0388A" w:rsidRDefault="00A0388A" w:rsidP="00B738E2">
            <w:pPr>
              <w:rPr>
                <w:b/>
                <w:bCs/>
                <w:sz w:val="18"/>
                <w:szCs w:val="18"/>
                <w:lang w:val="en-US"/>
              </w:rPr>
            </w:pPr>
            <w:r w:rsidRPr="00A0388A">
              <w:rPr>
                <w:sz w:val="18"/>
                <w:szCs w:val="18"/>
              </w:rPr>
              <w:t>Commentary</w:t>
            </w:r>
          </w:p>
        </w:tc>
      </w:tr>
      <w:tr w:rsidR="0039333D" w:rsidRPr="00E641B6" w14:paraId="7506F0D1" w14:textId="77777777" w:rsidTr="00B738E2">
        <w:trPr>
          <w:cantSplit/>
          <w:trHeight w:val="15"/>
        </w:trPr>
        <w:tc>
          <w:tcPr>
            <w:tcW w:w="1838" w:type="dxa"/>
            <w:shd w:val="clear" w:color="auto" w:fill="FFFFFF" w:themeFill="background1"/>
          </w:tcPr>
          <w:p w14:paraId="3649EF42" w14:textId="10D1DA5C" w:rsidR="0039333D" w:rsidRPr="0039333D" w:rsidRDefault="0039333D" w:rsidP="0039333D">
            <w:pPr>
              <w:rPr>
                <w:rFonts w:cs="HelveticaNeueLT Std"/>
                <w:sz w:val="18"/>
                <w:szCs w:val="18"/>
              </w:rPr>
            </w:pPr>
            <w:r w:rsidRPr="0039333D">
              <w:rPr>
                <w:sz w:val="18"/>
                <w:szCs w:val="18"/>
              </w:rPr>
              <w:t>Percentage of capital works completed annually, including renewals, against the annual budget adopted by the Council for three waters, waste management and roading.</w:t>
            </w:r>
          </w:p>
        </w:tc>
        <w:tc>
          <w:tcPr>
            <w:tcW w:w="1361" w:type="dxa"/>
            <w:shd w:val="clear" w:color="auto" w:fill="FFFFFF" w:themeFill="background1"/>
          </w:tcPr>
          <w:p w14:paraId="4D6C96F6" w14:textId="5DB2A561" w:rsidR="0039333D" w:rsidRPr="0039333D" w:rsidRDefault="0039333D" w:rsidP="0039333D">
            <w:pPr>
              <w:rPr>
                <w:rFonts w:cs="HelveticaNeueLT Std"/>
                <w:sz w:val="18"/>
                <w:szCs w:val="18"/>
              </w:rPr>
            </w:pPr>
            <w:r w:rsidRPr="0039333D">
              <w:rPr>
                <w:sz w:val="18"/>
                <w:szCs w:val="18"/>
              </w:rPr>
              <w:t>91%</w:t>
            </w:r>
          </w:p>
        </w:tc>
        <w:tc>
          <w:tcPr>
            <w:tcW w:w="1361" w:type="dxa"/>
            <w:shd w:val="clear" w:color="auto" w:fill="FFFFFF" w:themeFill="background1"/>
          </w:tcPr>
          <w:p w14:paraId="59E828FE" w14:textId="297F6FA7" w:rsidR="0039333D" w:rsidRPr="0039333D" w:rsidRDefault="0039333D" w:rsidP="0039333D">
            <w:pPr>
              <w:rPr>
                <w:rFonts w:cs="HelveticaNeueLT Std"/>
                <w:sz w:val="18"/>
                <w:szCs w:val="18"/>
              </w:rPr>
            </w:pPr>
            <w:r w:rsidRPr="0039333D">
              <w:rPr>
                <w:sz w:val="18"/>
                <w:szCs w:val="18"/>
              </w:rPr>
              <w:t>80%-110%</w:t>
            </w:r>
          </w:p>
        </w:tc>
        <w:tc>
          <w:tcPr>
            <w:tcW w:w="1361" w:type="dxa"/>
            <w:shd w:val="clear" w:color="auto" w:fill="FFFFFF" w:themeFill="background1"/>
          </w:tcPr>
          <w:p w14:paraId="3A797902" w14:textId="18EB2559" w:rsidR="0039333D" w:rsidRPr="0039333D" w:rsidRDefault="0039333D" w:rsidP="0039333D">
            <w:pPr>
              <w:rPr>
                <w:rFonts w:cs="HelveticaNeueLT Std"/>
                <w:sz w:val="18"/>
                <w:szCs w:val="18"/>
              </w:rPr>
            </w:pPr>
            <w:r w:rsidRPr="0039333D">
              <w:rPr>
                <w:sz w:val="18"/>
                <w:szCs w:val="18"/>
              </w:rPr>
              <w:t>89%</w:t>
            </w:r>
          </w:p>
        </w:tc>
        <w:tc>
          <w:tcPr>
            <w:tcW w:w="3651" w:type="dxa"/>
            <w:shd w:val="clear" w:color="auto" w:fill="FFFFFF" w:themeFill="background1"/>
          </w:tcPr>
          <w:p w14:paraId="275330FA" w14:textId="3D8ABD37" w:rsidR="0039333D" w:rsidRPr="0039333D" w:rsidRDefault="0039333D" w:rsidP="0039333D">
            <w:pPr>
              <w:rPr>
                <w:rFonts w:cs="HelveticaNeueLT Std"/>
                <w:b/>
                <w:bCs/>
                <w:sz w:val="18"/>
                <w:szCs w:val="18"/>
              </w:rPr>
            </w:pPr>
            <w:r w:rsidRPr="0039333D">
              <w:rPr>
                <w:rFonts w:cs="HelveticaNeueLT Std"/>
                <w:b/>
                <w:bCs/>
                <w:sz w:val="18"/>
                <w:szCs w:val="18"/>
              </w:rPr>
              <w:t>Target achieved.</w:t>
            </w:r>
          </w:p>
          <w:p w14:paraId="6EF5B70D" w14:textId="0E9FE650" w:rsidR="0039333D" w:rsidRPr="0039333D" w:rsidRDefault="0039333D" w:rsidP="0039333D">
            <w:pPr>
              <w:rPr>
                <w:rFonts w:cs="HelveticaNeueLT Std"/>
                <w:sz w:val="18"/>
                <w:szCs w:val="18"/>
              </w:rPr>
            </w:pPr>
            <w:r w:rsidRPr="0039333D">
              <w:rPr>
                <w:rFonts w:cs="HelveticaNeueLT Std"/>
                <w:sz w:val="18"/>
                <w:szCs w:val="18"/>
              </w:rPr>
              <w:t>QLDC has a total annual expenditure for the 2024/25 period of $114.5M. This was against a budget of $128.5M.</w:t>
            </w:r>
          </w:p>
          <w:p w14:paraId="637C4FF4" w14:textId="0E89AB05" w:rsidR="0039333D" w:rsidRPr="0039333D" w:rsidRDefault="0039333D" w:rsidP="0039333D">
            <w:pPr>
              <w:rPr>
                <w:rFonts w:cs="HelveticaNeueLT Std"/>
                <w:sz w:val="18"/>
                <w:szCs w:val="18"/>
              </w:rPr>
            </w:pPr>
            <w:r w:rsidRPr="0039333D">
              <w:rPr>
                <w:rFonts w:cs="HelveticaNeueLT Std"/>
                <w:sz w:val="18"/>
                <w:szCs w:val="18"/>
              </w:rPr>
              <w:t xml:space="preserve">Percentage of capital works result breakdown: </w:t>
            </w:r>
          </w:p>
          <w:p w14:paraId="10FBA1A6" w14:textId="77777777" w:rsidR="0039333D" w:rsidRPr="0039333D" w:rsidRDefault="0039333D" w:rsidP="0039333D">
            <w:pPr>
              <w:rPr>
                <w:rFonts w:cs="HelveticaNeueLT Std"/>
                <w:sz w:val="18"/>
                <w:szCs w:val="18"/>
              </w:rPr>
            </w:pPr>
          </w:p>
          <w:p w14:paraId="33142293" w14:textId="52728F98" w:rsidR="0039333D" w:rsidRPr="0039333D" w:rsidRDefault="0039333D" w:rsidP="0039333D">
            <w:pPr>
              <w:rPr>
                <w:rFonts w:cs="HelveticaNeueLT Std"/>
                <w:sz w:val="18"/>
                <w:szCs w:val="18"/>
              </w:rPr>
            </w:pPr>
            <w:r w:rsidRPr="0039333D">
              <w:rPr>
                <w:rFonts w:cs="HelveticaNeueLT Std"/>
                <w:sz w:val="18"/>
                <w:szCs w:val="18"/>
              </w:rPr>
              <w:t>Three Waters:</w:t>
            </w:r>
          </w:p>
          <w:p w14:paraId="267F4090" w14:textId="77777777" w:rsidR="0039333D" w:rsidRPr="0039333D" w:rsidRDefault="0039333D" w:rsidP="0039333D">
            <w:pPr>
              <w:rPr>
                <w:rFonts w:cs="HelveticaNeueLT Std"/>
                <w:sz w:val="18"/>
                <w:szCs w:val="18"/>
              </w:rPr>
            </w:pPr>
            <w:r w:rsidRPr="0039333D">
              <w:rPr>
                <w:rFonts w:cs="HelveticaNeueLT Std"/>
                <w:sz w:val="18"/>
                <w:szCs w:val="18"/>
              </w:rPr>
              <w:t>Water Supply - 93.6%</w:t>
            </w:r>
          </w:p>
          <w:p w14:paraId="7ADCA203" w14:textId="77777777" w:rsidR="0039333D" w:rsidRPr="0039333D" w:rsidRDefault="0039333D" w:rsidP="0039333D">
            <w:pPr>
              <w:rPr>
                <w:rFonts w:cs="HelveticaNeueLT Std"/>
                <w:sz w:val="18"/>
                <w:szCs w:val="18"/>
              </w:rPr>
            </w:pPr>
            <w:r w:rsidRPr="0039333D">
              <w:rPr>
                <w:rFonts w:cs="HelveticaNeueLT Std"/>
                <w:sz w:val="18"/>
                <w:szCs w:val="18"/>
              </w:rPr>
              <w:t>Waste Water - 96.7%</w:t>
            </w:r>
          </w:p>
          <w:p w14:paraId="7D4034CA" w14:textId="77777777" w:rsidR="0039333D" w:rsidRPr="0039333D" w:rsidRDefault="0039333D" w:rsidP="0039333D">
            <w:pPr>
              <w:rPr>
                <w:rFonts w:cs="HelveticaNeueLT Std"/>
                <w:sz w:val="18"/>
                <w:szCs w:val="18"/>
              </w:rPr>
            </w:pPr>
            <w:r w:rsidRPr="0039333D">
              <w:rPr>
                <w:rFonts w:cs="HelveticaNeueLT Std"/>
                <w:sz w:val="18"/>
                <w:szCs w:val="18"/>
              </w:rPr>
              <w:t>Storm Water - 43.2%</w:t>
            </w:r>
          </w:p>
          <w:p w14:paraId="45EC3C02" w14:textId="77777777" w:rsidR="0039333D" w:rsidRPr="0039333D" w:rsidRDefault="0039333D" w:rsidP="0039333D">
            <w:pPr>
              <w:rPr>
                <w:rFonts w:cs="HelveticaNeueLT Std"/>
                <w:sz w:val="18"/>
                <w:szCs w:val="18"/>
              </w:rPr>
            </w:pPr>
          </w:p>
          <w:p w14:paraId="778ABCDE" w14:textId="4CC42982" w:rsidR="0039333D" w:rsidRPr="0039333D" w:rsidRDefault="0039333D" w:rsidP="0039333D">
            <w:pPr>
              <w:rPr>
                <w:rFonts w:cs="HelveticaNeueLT Std"/>
                <w:sz w:val="18"/>
                <w:szCs w:val="18"/>
              </w:rPr>
            </w:pPr>
            <w:r w:rsidRPr="0039333D">
              <w:rPr>
                <w:rFonts w:cs="HelveticaNeueLT Std"/>
                <w:sz w:val="18"/>
                <w:szCs w:val="18"/>
              </w:rPr>
              <w:t>Waste Management- 43.8%</w:t>
            </w:r>
          </w:p>
          <w:p w14:paraId="3E5F9C96" w14:textId="42D8E4B2" w:rsidR="0039333D" w:rsidRPr="0039333D" w:rsidRDefault="0039333D" w:rsidP="0039333D">
            <w:pPr>
              <w:rPr>
                <w:rFonts w:cs="HelveticaNeueLT Std"/>
                <w:sz w:val="18"/>
                <w:szCs w:val="18"/>
              </w:rPr>
            </w:pPr>
            <w:r w:rsidRPr="0039333D">
              <w:rPr>
                <w:rFonts w:cs="HelveticaNeueLT Std"/>
                <w:sz w:val="18"/>
                <w:szCs w:val="18"/>
              </w:rPr>
              <w:t>Transport - 92.3%</w:t>
            </w:r>
          </w:p>
        </w:tc>
      </w:tr>
      <w:tr w:rsidR="0039333D" w:rsidRPr="00E641B6" w14:paraId="479470ED" w14:textId="77777777" w:rsidTr="00B738E2">
        <w:trPr>
          <w:cantSplit/>
          <w:trHeight w:val="15"/>
        </w:trPr>
        <w:tc>
          <w:tcPr>
            <w:tcW w:w="1838" w:type="dxa"/>
            <w:shd w:val="clear" w:color="auto" w:fill="FFFFFF" w:themeFill="background1"/>
          </w:tcPr>
          <w:p w14:paraId="3C4BD94E" w14:textId="10048C58" w:rsidR="0039333D" w:rsidRPr="0039333D" w:rsidRDefault="0039333D" w:rsidP="0039333D">
            <w:pPr>
              <w:rPr>
                <w:rFonts w:cs="HelveticaNeueLT Std"/>
                <w:sz w:val="18"/>
                <w:szCs w:val="18"/>
              </w:rPr>
            </w:pPr>
            <w:r w:rsidRPr="0039333D">
              <w:rPr>
                <w:sz w:val="18"/>
                <w:szCs w:val="18"/>
              </w:rPr>
              <w:t xml:space="preserve">Percentage of external contractor and internal Request </w:t>
            </w:r>
            <w:proofErr w:type="gramStart"/>
            <w:r w:rsidRPr="0039333D">
              <w:rPr>
                <w:sz w:val="18"/>
                <w:szCs w:val="18"/>
              </w:rPr>
              <w:t>For</w:t>
            </w:r>
            <w:proofErr w:type="gramEnd"/>
            <w:r w:rsidRPr="0039333D">
              <w:rPr>
                <w:sz w:val="18"/>
                <w:szCs w:val="18"/>
              </w:rPr>
              <w:t xml:space="preserve"> Service resolved within specified timeframe - Roading.</w:t>
            </w:r>
          </w:p>
        </w:tc>
        <w:tc>
          <w:tcPr>
            <w:tcW w:w="1361" w:type="dxa"/>
            <w:shd w:val="clear" w:color="auto" w:fill="FFFFFF" w:themeFill="background1"/>
          </w:tcPr>
          <w:p w14:paraId="44DC49BF" w14:textId="1988CA9D" w:rsidR="0039333D" w:rsidRPr="0039333D" w:rsidRDefault="0039333D" w:rsidP="0039333D">
            <w:pPr>
              <w:rPr>
                <w:rFonts w:cs="HelveticaNeueLT Std"/>
                <w:sz w:val="18"/>
                <w:szCs w:val="18"/>
              </w:rPr>
            </w:pPr>
            <w:r w:rsidRPr="0039333D">
              <w:rPr>
                <w:sz w:val="18"/>
                <w:szCs w:val="18"/>
              </w:rPr>
              <w:t>79.6%</w:t>
            </w:r>
          </w:p>
        </w:tc>
        <w:tc>
          <w:tcPr>
            <w:tcW w:w="1361" w:type="dxa"/>
            <w:shd w:val="clear" w:color="auto" w:fill="FFFFFF" w:themeFill="background1"/>
          </w:tcPr>
          <w:p w14:paraId="52060378" w14:textId="2FD196D1" w:rsidR="0039333D" w:rsidRPr="0039333D" w:rsidRDefault="0039333D" w:rsidP="0039333D">
            <w:pPr>
              <w:rPr>
                <w:rFonts w:cs="HelveticaNeueLT Std"/>
                <w:sz w:val="18"/>
                <w:szCs w:val="18"/>
              </w:rPr>
            </w:pPr>
            <w:r w:rsidRPr="0039333D">
              <w:rPr>
                <w:sz w:val="18"/>
                <w:szCs w:val="18"/>
              </w:rPr>
              <w:t>&gt;95%</w:t>
            </w:r>
          </w:p>
        </w:tc>
        <w:tc>
          <w:tcPr>
            <w:tcW w:w="1361" w:type="dxa"/>
            <w:shd w:val="clear" w:color="auto" w:fill="FFFFFF" w:themeFill="background1"/>
          </w:tcPr>
          <w:p w14:paraId="4BBFFFB0" w14:textId="1693A918" w:rsidR="0039333D" w:rsidRPr="0039333D" w:rsidRDefault="0039333D" w:rsidP="0039333D">
            <w:pPr>
              <w:rPr>
                <w:rFonts w:cs="HelveticaNeueLT Std"/>
                <w:sz w:val="18"/>
                <w:szCs w:val="18"/>
              </w:rPr>
            </w:pPr>
            <w:r w:rsidRPr="0039333D">
              <w:rPr>
                <w:sz w:val="18"/>
                <w:szCs w:val="18"/>
              </w:rPr>
              <w:t>90.5%</w:t>
            </w:r>
          </w:p>
        </w:tc>
        <w:tc>
          <w:tcPr>
            <w:tcW w:w="3651" w:type="dxa"/>
            <w:shd w:val="clear" w:color="auto" w:fill="FFFFFF" w:themeFill="background1"/>
          </w:tcPr>
          <w:p w14:paraId="0E54737F" w14:textId="2E73719F" w:rsidR="0039333D" w:rsidRPr="0039333D" w:rsidRDefault="0039333D" w:rsidP="0039333D">
            <w:pPr>
              <w:rPr>
                <w:rFonts w:cs="HelveticaNeueLT Std"/>
                <w:b/>
                <w:bCs/>
                <w:sz w:val="18"/>
                <w:szCs w:val="18"/>
              </w:rPr>
            </w:pPr>
            <w:r w:rsidRPr="0039333D">
              <w:rPr>
                <w:rFonts w:cs="HelveticaNeueLT Std"/>
                <w:b/>
                <w:bCs/>
                <w:sz w:val="18"/>
                <w:szCs w:val="18"/>
              </w:rPr>
              <w:t xml:space="preserve">Target </w:t>
            </w:r>
            <w:r>
              <w:rPr>
                <w:rFonts w:cs="HelveticaNeueLT Std"/>
                <w:b/>
                <w:bCs/>
                <w:sz w:val="18"/>
                <w:szCs w:val="18"/>
              </w:rPr>
              <w:t xml:space="preserve">not </w:t>
            </w:r>
            <w:r w:rsidRPr="0039333D">
              <w:rPr>
                <w:rFonts w:cs="HelveticaNeueLT Std"/>
                <w:b/>
                <w:bCs/>
                <w:sz w:val="18"/>
                <w:szCs w:val="18"/>
              </w:rPr>
              <w:t>achieved.</w:t>
            </w:r>
          </w:p>
          <w:p w14:paraId="1FC0EEC3" w14:textId="486A3525" w:rsidR="0039333D" w:rsidRPr="0039333D" w:rsidRDefault="0039333D" w:rsidP="0039333D">
            <w:pPr>
              <w:rPr>
                <w:rFonts w:cs="HelveticaNeueLT Std"/>
                <w:sz w:val="18"/>
                <w:szCs w:val="18"/>
              </w:rPr>
            </w:pPr>
            <w:r w:rsidRPr="0039333D">
              <w:rPr>
                <w:rFonts w:cs="HelveticaNeueLT Std"/>
                <w:sz w:val="18"/>
                <w:szCs w:val="18"/>
              </w:rPr>
              <w:t>90.5% of roading RFS were resolved on time in 2024-2025. There were 3,052 requests received in total for roading, of which 291 were overdue. This year’s performance represents a material improvement on the previous year but falls slightly short of the target set. In the year, the contractor response achieved the 95% target, while responses from internal staff have been slightly longer. However, resourcing uplift mid-year has seen internal performance begin to improve.</w:t>
            </w:r>
          </w:p>
        </w:tc>
      </w:tr>
      <w:tr w:rsidR="0039333D" w:rsidRPr="00E641B6" w14:paraId="3949A99C" w14:textId="77777777" w:rsidTr="00B738E2">
        <w:trPr>
          <w:cantSplit/>
          <w:trHeight w:val="15"/>
        </w:trPr>
        <w:tc>
          <w:tcPr>
            <w:tcW w:w="1838" w:type="dxa"/>
            <w:shd w:val="clear" w:color="auto" w:fill="FFFFFF" w:themeFill="background1"/>
          </w:tcPr>
          <w:p w14:paraId="1A15DBBE" w14:textId="39CAB70A" w:rsidR="0039333D" w:rsidRPr="0039333D" w:rsidRDefault="0039333D" w:rsidP="0039333D">
            <w:pPr>
              <w:rPr>
                <w:rFonts w:cs="HelveticaNeueLT Std"/>
                <w:sz w:val="18"/>
                <w:szCs w:val="18"/>
              </w:rPr>
            </w:pPr>
            <w:r w:rsidRPr="0039333D">
              <w:rPr>
                <w:sz w:val="18"/>
                <w:szCs w:val="18"/>
              </w:rPr>
              <w:t>The change from the previous financial year in the number of fatalities and serious injury crashes on the local road network expressed as a number.</w:t>
            </w:r>
          </w:p>
        </w:tc>
        <w:tc>
          <w:tcPr>
            <w:tcW w:w="1361" w:type="dxa"/>
            <w:shd w:val="clear" w:color="auto" w:fill="FFFFFF" w:themeFill="background1"/>
          </w:tcPr>
          <w:p w14:paraId="539BC145" w14:textId="30DCD2C0" w:rsidR="0039333D" w:rsidRPr="0039333D" w:rsidRDefault="0039333D" w:rsidP="0039333D">
            <w:pPr>
              <w:rPr>
                <w:rFonts w:cs="HelveticaNeueLT Std"/>
                <w:sz w:val="18"/>
                <w:szCs w:val="18"/>
              </w:rPr>
            </w:pPr>
            <w:r w:rsidRPr="0039333D">
              <w:rPr>
                <w:sz w:val="18"/>
                <w:szCs w:val="18"/>
              </w:rPr>
              <w:t>4</w:t>
            </w:r>
          </w:p>
        </w:tc>
        <w:tc>
          <w:tcPr>
            <w:tcW w:w="1361" w:type="dxa"/>
            <w:shd w:val="clear" w:color="auto" w:fill="FFFFFF" w:themeFill="background1"/>
          </w:tcPr>
          <w:p w14:paraId="19524537" w14:textId="228DDA9B" w:rsidR="0039333D" w:rsidRPr="0039333D" w:rsidRDefault="0039333D" w:rsidP="0039333D">
            <w:pPr>
              <w:rPr>
                <w:rFonts w:cs="HelveticaNeueLT Std"/>
                <w:sz w:val="18"/>
                <w:szCs w:val="18"/>
              </w:rPr>
            </w:pPr>
            <w:r w:rsidRPr="0039333D">
              <w:rPr>
                <w:sz w:val="18"/>
                <w:szCs w:val="18"/>
              </w:rPr>
              <w:t>To report a decrease on the previous year</w:t>
            </w:r>
          </w:p>
        </w:tc>
        <w:tc>
          <w:tcPr>
            <w:tcW w:w="1361" w:type="dxa"/>
            <w:shd w:val="clear" w:color="auto" w:fill="FFFFFF" w:themeFill="background1"/>
          </w:tcPr>
          <w:p w14:paraId="04361DF5" w14:textId="37083165" w:rsidR="0039333D" w:rsidRPr="0039333D" w:rsidRDefault="0039333D" w:rsidP="0039333D">
            <w:pPr>
              <w:rPr>
                <w:rFonts w:cs="HelveticaNeueLT Std"/>
                <w:sz w:val="18"/>
                <w:szCs w:val="18"/>
              </w:rPr>
            </w:pPr>
            <w:r w:rsidRPr="0039333D">
              <w:rPr>
                <w:sz w:val="18"/>
                <w:szCs w:val="18"/>
              </w:rPr>
              <w:t>7</w:t>
            </w:r>
          </w:p>
        </w:tc>
        <w:tc>
          <w:tcPr>
            <w:tcW w:w="3651" w:type="dxa"/>
            <w:shd w:val="clear" w:color="auto" w:fill="FFFFFF" w:themeFill="background1"/>
          </w:tcPr>
          <w:p w14:paraId="58DF8A7B" w14:textId="527FA1EF" w:rsidR="0039333D" w:rsidRPr="0039333D" w:rsidRDefault="0039333D" w:rsidP="0039333D">
            <w:pPr>
              <w:rPr>
                <w:rFonts w:cs="HelveticaNeueLT Std"/>
                <w:b/>
                <w:bCs/>
                <w:sz w:val="18"/>
                <w:szCs w:val="18"/>
              </w:rPr>
            </w:pPr>
            <w:r w:rsidRPr="0039333D">
              <w:rPr>
                <w:rFonts w:cs="HelveticaNeueLT Std"/>
                <w:b/>
                <w:bCs/>
                <w:sz w:val="18"/>
                <w:szCs w:val="18"/>
              </w:rPr>
              <w:t xml:space="preserve">Target </w:t>
            </w:r>
            <w:r>
              <w:rPr>
                <w:rFonts w:cs="HelveticaNeueLT Std"/>
                <w:b/>
                <w:bCs/>
                <w:sz w:val="18"/>
                <w:szCs w:val="18"/>
              </w:rPr>
              <w:t xml:space="preserve">not </w:t>
            </w:r>
            <w:r w:rsidRPr="0039333D">
              <w:rPr>
                <w:rFonts w:cs="HelveticaNeueLT Std"/>
                <w:b/>
                <w:bCs/>
                <w:sz w:val="18"/>
                <w:szCs w:val="18"/>
              </w:rPr>
              <w:t>achieved.</w:t>
            </w:r>
          </w:p>
          <w:p w14:paraId="2B2804B7" w14:textId="71585D96" w:rsidR="0039333D" w:rsidRPr="0039333D" w:rsidRDefault="0039333D" w:rsidP="0039333D">
            <w:pPr>
              <w:rPr>
                <w:rFonts w:cs="HelveticaNeueLT Std"/>
                <w:sz w:val="18"/>
                <w:szCs w:val="18"/>
              </w:rPr>
            </w:pPr>
            <w:r w:rsidRPr="0039333D">
              <w:rPr>
                <w:rFonts w:cs="HelveticaNeueLT Std"/>
                <w:sz w:val="18"/>
                <w:szCs w:val="18"/>
              </w:rPr>
              <w:t>Unfortunately, after decreases in the number of Deaths and Serious Injuries (DSI) on the local road network in prior years, there has been an increase of three DSIs to seven across the 2024/25 period.</w:t>
            </w:r>
          </w:p>
        </w:tc>
      </w:tr>
      <w:tr w:rsidR="0039333D" w:rsidRPr="00E641B6" w14:paraId="475B3BBA" w14:textId="77777777" w:rsidTr="00B738E2">
        <w:trPr>
          <w:cantSplit/>
          <w:trHeight w:val="15"/>
        </w:trPr>
        <w:tc>
          <w:tcPr>
            <w:tcW w:w="1838" w:type="dxa"/>
            <w:shd w:val="clear" w:color="auto" w:fill="FFFFFF" w:themeFill="background1"/>
          </w:tcPr>
          <w:p w14:paraId="18EF77E3" w14:textId="2D2BFD16" w:rsidR="0039333D" w:rsidRPr="0039333D" w:rsidRDefault="0039333D" w:rsidP="0039333D">
            <w:pPr>
              <w:rPr>
                <w:rFonts w:cs="HelveticaNeueLT Std"/>
                <w:sz w:val="18"/>
                <w:szCs w:val="18"/>
              </w:rPr>
            </w:pPr>
            <w:r w:rsidRPr="0039333D">
              <w:rPr>
                <w:sz w:val="18"/>
                <w:szCs w:val="18"/>
              </w:rPr>
              <w:lastRenderedPageBreak/>
              <w:t>Average quality of ride on a sealed local road network, as measured by the Smooth Travel Exposure Index.</w:t>
            </w:r>
          </w:p>
        </w:tc>
        <w:tc>
          <w:tcPr>
            <w:tcW w:w="1361" w:type="dxa"/>
            <w:shd w:val="clear" w:color="auto" w:fill="FFFFFF" w:themeFill="background1"/>
          </w:tcPr>
          <w:p w14:paraId="35D7023A" w14:textId="0B98F43C" w:rsidR="0039333D" w:rsidRPr="0039333D" w:rsidRDefault="0039333D" w:rsidP="0039333D">
            <w:pPr>
              <w:rPr>
                <w:rFonts w:cs="HelveticaNeueLT Std"/>
                <w:sz w:val="18"/>
                <w:szCs w:val="18"/>
              </w:rPr>
            </w:pPr>
            <w:r w:rsidRPr="0039333D">
              <w:rPr>
                <w:sz w:val="18"/>
                <w:szCs w:val="18"/>
              </w:rPr>
              <w:t>93%</w:t>
            </w:r>
          </w:p>
        </w:tc>
        <w:tc>
          <w:tcPr>
            <w:tcW w:w="1361" w:type="dxa"/>
            <w:shd w:val="clear" w:color="auto" w:fill="FFFFFF" w:themeFill="background1"/>
          </w:tcPr>
          <w:p w14:paraId="147D3ED8" w14:textId="05DE60F7" w:rsidR="0039333D" w:rsidRPr="0039333D" w:rsidRDefault="0039333D" w:rsidP="0039333D">
            <w:pPr>
              <w:rPr>
                <w:rFonts w:cs="HelveticaNeueLT Std"/>
                <w:sz w:val="18"/>
                <w:szCs w:val="18"/>
              </w:rPr>
            </w:pPr>
            <w:r w:rsidRPr="0039333D">
              <w:rPr>
                <w:sz w:val="18"/>
                <w:szCs w:val="18"/>
              </w:rPr>
              <w:t>&gt;90%</w:t>
            </w:r>
          </w:p>
        </w:tc>
        <w:tc>
          <w:tcPr>
            <w:tcW w:w="1361" w:type="dxa"/>
            <w:shd w:val="clear" w:color="auto" w:fill="FFFFFF" w:themeFill="background1"/>
          </w:tcPr>
          <w:p w14:paraId="23E09ACB" w14:textId="3F3A9BED" w:rsidR="0039333D" w:rsidRPr="0039333D" w:rsidRDefault="0039333D" w:rsidP="0039333D">
            <w:pPr>
              <w:rPr>
                <w:rFonts w:cs="HelveticaNeueLT Std"/>
                <w:sz w:val="18"/>
                <w:szCs w:val="18"/>
              </w:rPr>
            </w:pPr>
            <w:r w:rsidRPr="0039333D">
              <w:rPr>
                <w:sz w:val="18"/>
                <w:szCs w:val="18"/>
              </w:rPr>
              <w:t>91%</w:t>
            </w:r>
          </w:p>
        </w:tc>
        <w:tc>
          <w:tcPr>
            <w:tcW w:w="3651" w:type="dxa"/>
            <w:shd w:val="clear" w:color="auto" w:fill="FFFFFF" w:themeFill="background1"/>
          </w:tcPr>
          <w:p w14:paraId="05743142" w14:textId="77777777" w:rsidR="0039333D" w:rsidRPr="0039333D" w:rsidRDefault="0039333D" w:rsidP="0039333D">
            <w:pPr>
              <w:rPr>
                <w:rFonts w:cs="HelveticaNeueLT Std"/>
                <w:b/>
                <w:bCs/>
                <w:sz w:val="18"/>
                <w:szCs w:val="18"/>
              </w:rPr>
            </w:pPr>
            <w:r w:rsidRPr="0039333D">
              <w:rPr>
                <w:rFonts w:cs="HelveticaNeueLT Std"/>
                <w:b/>
                <w:bCs/>
                <w:sz w:val="18"/>
                <w:szCs w:val="18"/>
              </w:rPr>
              <w:t>Target achieved.</w:t>
            </w:r>
          </w:p>
          <w:p w14:paraId="7A9F2BAB" w14:textId="2ADD1883" w:rsidR="0039333D" w:rsidRPr="0039333D" w:rsidRDefault="0039333D" w:rsidP="0039333D">
            <w:pPr>
              <w:rPr>
                <w:rFonts w:cs="HelveticaNeueLT Std"/>
                <w:sz w:val="18"/>
                <w:szCs w:val="18"/>
              </w:rPr>
            </w:pPr>
            <w:r w:rsidRPr="0039333D">
              <w:rPr>
                <w:rFonts w:cs="HelveticaNeueLT Std"/>
                <w:sz w:val="18"/>
                <w:szCs w:val="18"/>
              </w:rPr>
              <w:t>The Smooth Travel Exposure Index decreased again slightly this year (2% reduction from previous year). A slight decrease in smooth travel could indicate some change in road condition which QLDC will monitor, but the result continues to be within the target range.</w:t>
            </w:r>
            <w:r>
              <w:rPr>
                <w:rStyle w:val="FootnoteReference"/>
                <w:rFonts w:cs="HelveticaNeueLT Std"/>
                <w:sz w:val="18"/>
                <w:szCs w:val="18"/>
              </w:rPr>
              <w:footnoteReference w:id="57"/>
            </w:r>
          </w:p>
        </w:tc>
      </w:tr>
      <w:tr w:rsidR="0039333D" w:rsidRPr="00E641B6" w14:paraId="7D12E0FA" w14:textId="77777777" w:rsidTr="00B738E2">
        <w:trPr>
          <w:cantSplit/>
          <w:trHeight w:val="15"/>
        </w:trPr>
        <w:tc>
          <w:tcPr>
            <w:tcW w:w="1838" w:type="dxa"/>
            <w:shd w:val="clear" w:color="auto" w:fill="FFFFFF" w:themeFill="background1"/>
          </w:tcPr>
          <w:p w14:paraId="74174CBB" w14:textId="467CB5C7" w:rsidR="0039333D" w:rsidRPr="0039333D" w:rsidRDefault="0039333D" w:rsidP="0039333D">
            <w:pPr>
              <w:rPr>
                <w:rFonts w:cs="HelveticaNeueLT Std"/>
                <w:sz w:val="18"/>
                <w:szCs w:val="18"/>
              </w:rPr>
            </w:pPr>
            <w:r w:rsidRPr="0039333D">
              <w:rPr>
                <w:sz w:val="18"/>
                <w:szCs w:val="18"/>
              </w:rPr>
              <w:t>Percentage of sealed network that is resurfaced annually.</w:t>
            </w:r>
          </w:p>
        </w:tc>
        <w:tc>
          <w:tcPr>
            <w:tcW w:w="1361" w:type="dxa"/>
            <w:shd w:val="clear" w:color="auto" w:fill="FFFFFF" w:themeFill="background1"/>
          </w:tcPr>
          <w:p w14:paraId="3CE7A044" w14:textId="3956759A" w:rsidR="0039333D" w:rsidRPr="0039333D" w:rsidRDefault="0039333D" w:rsidP="0039333D">
            <w:pPr>
              <w:rPr>
                <w:rFonts w:cs="HelveticaNeueLT Std"/>
                <w:sz w:val="18"/>
                <w:szCs w:val="18"/>
              </w:rPr>
            </w:pPr>
            <w:r w:rsidRPr="0039333D">
              <w:rPr>
                <w:sz w:val="18"/>
                <w:szCs w:val="18"/>
              </w:rPr>
              <w:t>3.2%</w:t>
            </w:r>
          </w:p>
        </w:tc>
        <w:tc>
          <w:tcPr>
            <w:tcW w:w="1361" w:type="dxa"/>
            <w:shd w:val="clear" w:color="auto" w:fill="FFFFFF" w:themeFill="background1"/>
          </w:tcPr>
          <w:p w14:paraId="1CFC1C02" w14:textId="44EA5469" w:rsidR="0039333D" w:rsidRPr="0039333D" w:rsidRDefault="0039333D" w:rsidP="0039333D">
            <w:pPr>
              <w:rPr>
                <w:rFonts w:cs="HelveticaNeueLT Std"/>
                <w:sz w:val="18"/>
                <w:szCs w:val="18"/>
              </w:rPr>
            </w:pPr>
            <w:r w:rsidRPr="0039333D">
              <w:rPr>
                <w:sz w:val="18"/>
                <w:szCs w:val="18"/>
              </w:rPr>
              <w:t>&lt;10%</w:t>
            </w:r>
          </w:p>
        </w:tc>
        <w:tc>
          <w:tcPr>
            <w:tcW w:w="1361" w:type="dxa"/>
            <w:shd w:val="clear" w:color="auto" w:fill="FFFFFF" w:themeFill="background1"/>
          </w:tcPr>
          <w:p w14:paraId="0ECB4143" w14:textId="6CB51436" w:rsidR="0039333D" w:rsidRPr="0039333D" w:rsidRDefault="0039333D" w:rsidP="0039333D">
            <w:pPr>
              <w:rPr>
                <w:rFonts w:cs="HelveticaNeueLT Std"/>
                <w:sz w:val="18"/>
                <w:szCs w:val="18"/>
              </w:rPr>
            </w:pPr>
            <w:r w:rsidRPr="0039333D">
              <w:rPr>
                <w:sz w:val="18"/>
                <w:szCs w:val="18"/>
              </w:rPr>
              <w:t>4.26%</w:t>
            </w:r>
          </w:p>
        </w:tc>
        <w:tc>
          <w:tcPr>
            <w:tcW w:w="3651" w:type="dxa"/>
            <w:shd w:val="clear" w:color="auto" w:fill="FFFFFF" w:themeFill="background1"/>
          </w:tcPr>
          <w:p w14:paraId="559265E0" w14:textId="77777777" w:rsidR="0039333D" w:rsidRPr="0039333D" w:rsidRDefault="0039333D" w:rsidP="0039333D">
            <w:pPr>
              <w:rPr>
                <w:rFonts w:cs="HelveticaNeueLT Std"/>
                <w:b/>
                <w:bCs/>
                <w:sz w:val="18"/>
                <w:szCs w:val="18"/>
              </w:rPr>
            </w:pPr>
            <w:r w:rsidRPr="0039333D">
              <w:rPr>
                <w:rFonts w:cs="HelveticaNeueLT Std"/>
                <w:b/>
                <w:bCs/>
                <w:sz w:val="18"/>
                <w:szCs w:val="18"/>
              </w:rPr>
              <w:t>Target achieved.</w:t>
            </w:r>
          </w:p>
          <w:p w14:paraId="26935439" w14:textId="57C6951D" w:rsidR="0039333D" w:rsidRPr="0039333D" w:rsidRDefault="0039333D" w:rsidP="0039333D">
            <w:pPr>
              <w:rPr>
                <w:rFonts w:cs="HelveticaNeueLT Std"/>
                <w:sz w:val="18"/>
                <w:szCs w:val="18"/>
              </w:rPr>
            </w:pPr>
            <w:r w:rsidRPr="0039333D">
              <w:rPr>
                <w:rFonts w:cs="HelveticaNeueLT Std"/>
                <w:sz w:val="18"/>
                <w:szCs w:val="18"/>
              </w:rPr>
              <w:t xml:space="preserve">An increase in percentage resealed from last year after </w:t>
            </w:r>
            <w:proofErr w:type="gramStart"/>
            <w:r w:rsidRPr="0039333D">
              <w:rPr>
                <w:rFonts w:cs="HelveticaNeueLT Std"/>
                <w:sz w:val="18"/>
                <w:szCs w:val="18"/>
              </w:rPr>
              <w:t>reseal</w:t>
            </w:r>
            <w:proofErr w:type="gramEnd"/>
            <w:r w:rsidRPr="0039333D">
              <w:rPr>
                <w:rFonts w:cs="HelveticaNeueLT Std"/>
                <w:sz w:val="18"/>
                <w:szCs w:val="18"/>
              </w:rPr>
              <w:t xml:space="preserve"> rates escalated previously for the new contract. The quantity of resurfacing completed in the year has increased from the previous year following uplift in budget allocations through the 2024-2034 Long Term Plan and National Land Transport Programme.</w:t>
            </w:r>
          </w:p>
        </w:tc>
      </w:tr>
      <w:tr w:rsidR="0039333D" w:rsidRPr="00E641B6" w14:paraId="40CE4B2C" w14:textId="77777777" w:rsidTr="00B738E2">
        <w:trPr>
          <w:cantSplit/>
          <w:trHeight w:val="15"/>
        </w:trPr>
        <w:tc>
          <w:tcPr>
            <w:tcW w:w="1838" w:type="dxa"/>
            <w:shd w:val="clear" w:color="auto" w:fill="FFFFFF" w:themeFill="background1"/>
          </w:tcPr>
          <w:p w14:paraId="17CD658F" w14:textId="79D5542C" w:rsidR="0039333D" w:rsidRPr="0039333D" w:rsidRDefault="0039333D" w:rsidP="0039333D">
            <w:pPr>
              <w:rPr>
                <w:rFonts w:cs="HelveticaNeueLT Std"/>
                <w:sz w:val="18"/>
                <w:szCs w:val="18"/>
              </w:rPr>
            </w:pPr>
            <w:r w:rsidRPr="0039333D">
              <w:rPr>
                <w:sz w:val="18"/>
                <w:szCs w:val="18"/>
              </w:rPr>
              <w:t>Percentage of local footpath network that is part of the local road network that falls within the Level of Service (LOS) or service standards for the condition of footpaths.</w:t>
            </w:r>
          </w:p>
        </w:tc>
        <w:tc>
          <w:tcPr>
            <w:tcW w:w="1361" w:type="dxa"/>
            <w:shd w:val="clear" w:color="auto" w:fill="FFFFFF" w:themeFill="background1"/>
          </w:tcPr>
          <w:p w14:paraId="3DBDE874" w14:textId="080B263B" w:rsidR="0039333D" w:rsidRPr="0039333D" w:rsidRDefault="0039333D" w:rsidP="0039333D">
            <w:pPr>
              <w:rPr>
                <w:rFonts w:cs="HelveticaNeueLT Std"/>
                <w:sz w:val="18"/>
                <w:szCs w:val="18"/>
              </w:rPr>
            </w:pPr>
            <w:r w:rsidRPr="0039333D">
              <w:rPr>
                <w:sz w:val="18"/>
                <w:szCs w:val="18"/>
              </w:rPr>
              <w:t>98.89%</w:t>
            </w:r>
          </w:p>
        </w:tc>
        <w:tc>
          <w:tcPr>
            <w:tcW w:w="1361" w:type="dxa"/>
            <w:shd w:val="clear" w:color="auto" w:fill="FFFFFF" w:themeFill="background1"/>
          </w:tcPr>
          <w:p w14:paraId="398B8B40" w14:textId="2EC65DDB" w:rsidR="0039333D" w:rsidRPr="0039333D" w:rsidRDefault="0039333D" w:rsidP="0039333D">
            <w:pPr>
              <w:rPr>
                <w:rFonts w:cs="HelveticaNeueLT Std"/>
                <w:sz w:val="18"/>
                <w:szCs w:val="18"/>
              </w:rPr>
            </w:pPr>
            <w:r w:rsidRPr="0039333D">
              <w:rPr>
                <w:sz w:val="18"/>
                <w:szCs w:val="18"/>
              </w:rPr>
              <w:t>&gt;95%</w:t>
            </w:r>
          </w:p>
        </w:tc>
        <w:tc>
          <w:tcPr>
            <w:tcW w:w="1361" w:type="dxa"/>
            <w:shd w:val="clear" w:color="auto" w:fill="FFFFFF" w:themeFill="background1"/>
          </w:tcPr>
          <w:p w14:paraId="3969D950" w14:textId="0B0B6BC9" w:rsidR="0039333D" w:rsidRPr="0039333D" w:rsidRDefault="0039333D" w:rsidP="0039333D">
            <w:pPr>
              <w:rPr>
                <w:rFonts w:cs="HelveticaNeueLT Std"/>
                <w:sz w:val="18"/>
                <w:szCs w:val="18"/>
              </w:rPr>
            </w:pPr>
            <w:r w:rsidRPr="0039333D">
              <w:rPr>
                <w:sz w:val="18"/>
                <w:szCs w:val="18"/>
              </w:rPr>
              <w:t>99.24%</w:t>
            </w:r>
          </w:p>
        </w:tc>
        <w:tc>
          <w:tcPr>
            <w:tcW w:w="3651" w:type="dxa"/>
            <w:shd w:val="clear" w:color="auto" w:fill="FFFFFF" w:themeFill="background1"/>
          </w:tcPr>
          <w:p w14:paraId="6C5B255A" w14:textId="77777777" w:rsidR="0039333D" w:rsidRPr="0039333D" w:rsidRDefault="0039333D" w:rsidP="0039333D">
            <w:pPr>
              <w:rPr>
                <w:rFonts w:cs="HelveticaNeueLT Std"/>
                <w:b/>
                <w:bCs/>
                <w:sz w:val="18"/>
                <w:szCs w:val="18"/>
              </w:rPr>
            </w:pPr>
            <w:r w:rsidRPr="0039333D">
              <w:rPr>
                <w:rFonts w:cs="HelveticaNeueLT Std"/>
                <w:b/>
                <w:bCs/>
                <w:sz w:val="18"/>
                <w:szCs w:val="18"/>
              </w:rPr>
              <w:t>Target achieved.</w:t>
            </w:r>
          </w:p>
          <w:p w14:paraId="2CC29B58" w14:textId="292D2788" w:rsidR="0039333D" w:rsidRPr="0039333D" w:rsidRDefault="0039333D" w:rsidP="0039333D">
            <w:pPr>
              <w:rPr>
                <w:rFonts w:cs="HelveticaNeueLT Std"/>
                <w:sz w:val="18"/>
                <w:szCs w:val="18"/>
              </w:rPr>
            </w:pPr>
            <w:r w:rsidRPr="0039333D">
              <w:rPr>
                <w:rFonts w:cs="HelveticaNeueLT Std"/>
                <w:sz w:val="18"/>
                <w:szCs w:val="18"/>
              </w:rPr>
              <w:t>The 2024/2025 result represents a further improvement on the previous year and reflects that the overall condition of the footpath network is good and achieves the desired levels of service.</w:t>
            </w:r>
          </w:p>
        </w:tc>
      </w:tr>
      <w:tr w:rsidR="0039333D" w:rsidRPr="00E641B6" w14:paraId="12E5E031" w14:textId="77777777" w:rsidTr="00B738E2">
        <w:trPr>
          <w:cantSplit/>
          <w:trHeight w:val="15"/>
        </w:trPr>
        <w:tc>
          <w:tcPr>
            <w:tcW w:w="1838" w:type="dxa"/>
            <w:shd w:val="clear" w:color="auto" w:fill="FFFFFF" w:themeFill="background1"/>
          </w:tcPr>
          <w:p w14:paraId="1B791C22" w14:textId="5032AD99" w:rsidR="0039333D" w:rsidRPr="0039333D" w:rsidRDefault="0039333D" w:rsidP="0039333D">
            <w:pPr>
              <w:rPr>
                <w:rFonts w:cs="HelveticaNeueLT Std"/>
                <w:sz w:val="18"/>
                <w:szCs w:val="18"/>
              </w:rPr>
            </w:pPr>
            <w:r w:rsidRPr="0039333D">
              <w:rPr>
                <w:sz w:val="18"/>
                <w:szCs w:val="18"/>
              </w:rPr>
              <w:t>Percentage of residents who are choosing to use their petrol or diesel vehicle less by using alternate modes of transport or active travel.</w:t>
            </w:r>
          </w:p>
        </w:tc>
        <w:tc>
          <w:tcPr>
            <w:tcW w:w="1361" w:type="dxa"/>
            <w:shd w:val="clear" w:color="auto" w:fill="FFFFFF" w:themeFill="background1"/>
          </w:tcPr>
          <w:p w14:paraId="103907CA" w14:textId="433AAD89" w:rsidR="0039333D" w:rsidRPr="0039333D" w:rsidRDefault="0039333D" w:rsidP="0039333D">
            <w:pPr>
              <w:rPr>
                <w:rFonts w:cs="HelveticaNeueLT Std"/>
                <w:sz w:val="18"/>
                <w:szCs w:val="18"/>
              </w:rPr>
            </w:pPr>
            <w:r w:rsidRPr="0039333D">
              <w:rPr>
                <w:sz w:val="18"/>
                <w:szCs w:val="18"/>
              </w:rPr>
              <w:t>New Measure</w:t>
            </w:r>
          </w:p>
        </w:tc>
        <w:tc>
          <w:tcPr>
            <w:tcW w:w="1361" w:type="dxa"/>
            <w:shd w:val="clear" w:color="auto" w:fill="FFFFFF" w:themeFill="background1"/>
          </w:tcPr>
          <w:p w14:paraId="76EC9623" w14:textId="3D202A46" w:rsidR="0039333D" w:rsidRPr="0039333D" w:rsidRDefault="0039333D" w:rsidP="0039333D">
            <w:pPr>
              <w:rPr>
                <w:rFonts w:cs="HelveticaNeueLT Std"/>
                <w:sz w:val="18"/>
                <w:szCs w:val="18"/>
              </w:rPr>
            </w:pPr>
            <w:r w:rsidRPr="0039333D">
              <w:rPr>
                <w:sz w:val="18"/>
                <w:szCs w:val="18"/>
              </w:rPr>
              <w:t>Establish a baseline</w:t>
            </w:r>
          </w:p>
        </w:tc>
        <w:tc>
          <w:tcPr>
            <w:tcW w:w="1361" w:type="dxa"/>
            <w:shd w:val="clear" w:color="auto" w:fill="FFFFFF" w:themeFill="background1"/>
          </w:tcPr>
          <w:p w14:paraId="6D48C109" w14:textId="1602A08A" w:rsidR="0039333D" w:rsidRPr="0039333D" w:rsidRDefault="0039333D" w:rsidP="0039333D">
            <w:pPr>
              <w:rPr>
                <w:rFonts w:cs="HelveticaNeueLT Std"/>
                <w:sz w:val="18"/>
                <w:szCs w:val="18"/>
              </w:rPr>
            </w:pPr>
            <w:r w:rsidRPr="0039333D">
              <w:rPr>
                <w:sz w:val="18"/>
                <w:szCs w:val="18"/>
              </w:rPr>
              <w:t>42%</w:t>
            </w:r>
          </w:p>
        </w:tc>
        <w:tc>
          <w:tcPr>
            <w:tcW w:w="3651" w:type="dxa"/>
            <w:shd w:val="clear" w:color="auto" w:fill="FFFFFF" w:themeFill="background1"/>
          </w:tcPr>
          <w:p w14:paraId="7FB4EBDF" w14:textId="77777777" w:rsidR="0039333D" w:rsidRPr="0039333D" w:rsidRDefault="0039333D" w:rsidP="0039333D">
            <w:pPr>
              <w:rPr>
                <w:rFonts w:cs="HelveticaNeueLT Std"/>
                <w:b/>
                <w:bCs/>
                <w:sz w:val="18"/>
                <w:szCs w:val="18"/>
              </w:rPr>
            </w:pPr>
            <w:r w:rsidRPr="0039333D">
              <w:rPr>
                <w:rFonts w:cs="HelveticaNeueLT Std"/>
                <w:b/>
                <w:bCs/>
                <w:sz w:val="18"/>
                <w:szCs w:val="18"/>
              </w:rPr>
              <w:t>Target achieved.</w:t>
            </w:r>
          </w:p>
          <w:p w14:paraId="1B226E15" w14:textId="5135CE40" w:rsidR="0039333D" w:rsidRPr="0039333D" w:rsidRDefault="0039333D" w:rsidP="0039333D">
            <w:pPr>
              <w:rPr>
                <w:rFonts w:cs="HelveticaNeueLT Std"/>
                <w:sz w:val="18"/>
                <w:szCs w:val="18"/>
              </w:rPr>
            </w:pPr>
            <w:r w:rsidRPr="0039333D">
              <w:rPr>
                <w:rFonts w:cs="HelveticaNeueLT Std"/>
                <w:sz w:val="18"/>
                <w:szCs w:val="18"/>
              </w:rPr>
              <w:t>42% of residents stated that they had chosen to use their petrol or diesel vehicle less in the last twelve months by using alternate means of transport or active travel, while 49% of residents said they hadn't. This result will be used as a benchmark going forward.</w:t>
            </w:r>
          </w:p>
        </w:tc>
      </w:tr>
    </w:tbl>
    <w:p w14:paraId="3DB537A8" w14:textId="77777777" w:rsidR="00A0388A" w:rsidRPr="00E641B6" w:rsidRDefault="00A0388A" w:rsidP="00A0388A">
      <w:pPr>
        <w:rPr>
          <w:sz w:val="24"/>
          <w:lang w:val="en-GB"/>
        </w:rPr>
      </w:pPr>
      <w:r w:rsidRPr="00E641B6">
        <w:rPr>
          <w:sz w:val="24"/>
          <w:lang w:val="en-GB"/>
        </w:rPr>
        <w:br w:type="page"/>
      </w:r>
    </w:p>
    <w:p w14:paraId="5C4EBB99" w14:textId="3C0ED50E" w:rsidR="00D42703" w:rsidRDefault="00D42703" w:rsidP="00D42703">
      <w:pPr>
        <w:pStyle w:val="Heading2"/>
        <w:rPr>
          <w:lang w:val="en-GB"/>
        </w:rPr>
      </w:pPr>
      <w:bookmarkStart w:id="41" w:name="_Toc211422653"/>
      <w:r w:rsidRPr="00D42703">
        <w:rPr>
          <w:lang w:val="en-GB"/>
        </w:rPr>
        <w:lastRenderedPageBreak/>
        <w:t xml:space="preserve">Waste minimisation and management </w:t>
      </w:r>
      <w:r>
        <w:rPr>
          <w:lang w:val="en-GB"/>
        </w:rPr>
        <w:t>|</w:t>
      </w:r>
      <w:r w:rsidRPr="00D42703">
        <w:rPr>
          <w:lang w:val="en-GB"/>
        </w:rPr>
        <w:t xml:space="preserve"> </w:t>
      </w:r>
      <w:proofErr w:type="spellStart"/>
      <w:r w:rsidRPr="00D42703">
        <w:rPr>
          <w:lang w:val="en-GB"/>
        </w:rPr>
        <w:t>Whakaiti</w:t>
      </w:r>
      <w:proofErr w:type="spellEnd"/>
      <w:r w:rsidRPr="00D42703">
        <w:rPr>
          <w:lang w:val="en-GB"/>
        </w:rPr>
        <w:t xml:space="preserve"> me </w:t>
      </w:r>
      <w:proofErr w:type="spellStart"/>
      <w:r w:rsidRPr="00D42703">
        <w:rPr>
          <w:lang w:val="en-GB"/>
        </w:rPr>
        <w:t>te</w:t>
      </w:r>
      <w:proofErr w:type="spellEnd"/>
      <w:r w:rsidRPr="00D42703">
        <w:rPr>
          <w:lang w:val="en-GB"/>
        </w:rPr>
        <w:t xml:space="preserve"> </w:t>
      </w:r>
      <w:proofErr w:type="spellStart"/>
      <w:r w:rsidRPr="00D42703">
        <w:rPr>
          <w:lang w:val="en-GB"/>
        </w:rPr>
        <w:t>whakahaere</w:t>
      </w:r>
      <w:proofErr w:type="spellEnd"/>
      <w:r w:rsidRPr="00D42703">
        <w:rPr>
          <w:lang w:val="en-GB"/>
        </w:rPr>
        <w:t xml:space="preserve"> para</w:t>
      </w:r>
      <w:bookmarkEnd w:id="41"/>
    </w:p>
    <w:p w14:paraId="537FCDCC" w14:textId="77777777" w:rsidR="00D42703" w:rsidRPr="007B27E4" w:rsidRDefault="00D42703" w:rsidP="00D42703">
      <w:pPr>
        <w:pStyle w:val="Heading3"/>
      </w:pPr>
      <w:bookmarkStart w:id="42" w:name="_Toc211422654"/>
      <w:r w:rsidRPr="007B27E4">
        <w:t>How we performed</w:t>
      </w:r>
      <w:bookmarkEnd w:id="42"/>
    </w:p>
    <w:p w14:paraId="6906F68E" w14:textId="77777777" w:rsidR="00D42703" w:rsidRPr="00E641B6" w:rsidRDefault="00D42703" w:rsidP="00D42703">
      <w:pPr>
        <w:rPr>
          <w:sz w:val="24"/>
          <w:lang w:val="en-GB"/>
        </w:rPr>
      </w:pPr>
      <w:r w:rsidRPr="00E641B6">
        <w:rPr>
          <w:sz w:val="24"/>
          <w:lang w:val="en-GB"/>
        </w:rPr>
        <w:t>How QLDC performed against its Key Performance Indicators (KPIs).</w:t>
      </w:r>
    </w:p>
    <w:tbl>
      <w:tblPr>
        <w:tblStyle w:val="TableGrid"/>
        <w:tblW w:w="9572" w:type="dxa"/>
        <w:tblLayout w:type="fixed"/>
        <w:tblCellMar>
          <w:top w:w="115" w:type="dxa"/>
          <w:bottom w:w="115" w:type="dxa"/>
        </w:tblCellMar>
        <w:tblLook w:val="04A0" w:firstRow="1" w:lastRow="0" w:firstColumn="1" w:lastColumn="0" w:noHBand="0" w:noVBand="1"/>
      </w:tblPr>
      <w:tblGrid>
        <w:gridCol w:w="1838"/>
        <w:gridCol w:w="1361"/>
        <w:gridCol w:w="1361"/>
        <w:gridCol w:w="1361"/>
        <w:gridCol w:w="3651"/>
      </w:tblGrid>
      <w:tr w:rsidR="00D42703" w:rsidRPr="00E641B6" w14:paraId="19D03847" w14:textId="77777777" w:rsidTr="00B738E2">
        <w:trPr>
          <w:cantSplit/>
        </w:trPr>
        <w:tc>
          <w:tcPr>
            <w:tcW w:w="1838" w:type="dxa"/>
            <w:shd w:val="clear" w:color="auto" w:fill="BFBFBF" w:themeFill="background1" w:themeFillShade="BF"/>
          </w:tcPr>
          <w:p w14:paraId="4B2D918F" w14:textId="77777777" w:rsidR="00D42703" w:rsidRPr="00A0388A" w:rsidRDefault="00D42703" w:rsidP="00B738E2">
            <w:pPr>
              <w:rPr>
                <w:b/>
                <w:bCs/>
                <w:sz w:val="18"/>
                <w:szCs w:val="18"/>
                <w:lang w:val="en-US"/>
              </w:rPr>
            </w:pPr>
            <w:r w:rsidRPr="00A0388A">
              <w:rPr>
                <w:sz w:val="18"/>
                <w:szCs w:val="18"/>
              </w:rPr>
              <w:t>KPIs</w:t>
            </w:r>
          </w:p>
        </w:tc>
        <w:tc>
          <w:tcPr>
            <w:tcW w:w="1361" w:type="dxa"/>
            <w:shd w:val="clear" w:color="auto" w:fill="BFBFBF" w:themeFill="background1" w:themeFillShade="BF"/>
          </w:tcPr>
          <w:p w14:paraId="2E35EAF9" w14:textId="77777777" w:rsidR="00D42703" w:rsidRPr="00A0388A" w:rsidRDefault="00D42703" w:rsidP="00B738E2">
            <w:pPr>
              <w:rPr>
                <w:b/>
                <w:bCs/>
                <w:sz w:val="18"/>
                <w:szCs w:val="18"/>
                <w:lang w:val="en-US"/>
              </w:rPr>
            </w:pPr>
            <w:r w:rsidRPr="00A0388A">
              <w:rPr>
                <w:sz w:val="18"/>
                <w:szCs w:val="18"/>
              </w:rPr>
              <w:t xml:space="preserve">Baseline Performance </w:t>
            </w:r>
            <w:proofErr w:type="gramStart"/>
            <w:r w:rsidRPr="00A0388A">
              <w:rPr>
                <w:sz w:val="18"/>
                <w:szCs w:val="18"/>
              </w:rPr>
              <w:t>at</w:t>
            </w:r>
            <w:proofErr w:type="gramEnd"/>
            <w:r w:rsidRPr="00A0388A">
              <w:rPr>
                <w:sz w:val="18"/>
                <w:szCs w:val="18"/>
              </w:rPr>
              <w:t xml:space="preserve"> 30 June 2024</w:t>
            </w:r>
          </w:p>
        </w:tc>
        <w:tc>
          <w:tcPr>
            <w:tcW w:w="1361" w:type="dxa"/>
            <w:shd w:val="clear" w:color="auto" w:fill="BFBFBF" w:themeFill="background1" w:themeFillShade="BF"/>
          </w:tcPr>
          <w:p w14:paraId="65842BFF" w14:textId="77777777" w:rsidR="00D42703" w:rsidRPr="00A0388A" w:rsidRDefault="00D42703" w:rsidP="00B738E2">
            <w:pPr>
              <w:rPr>
                <w:b/>
                <w:bCs/>
                <w:sz w:val="18"/>
                <w:szCs w:val="18"/>
                <w:lang w:val="en-US"/>
              </w:rPr>
            </w:pPr>
            <w:r w:rsidRPr="00A0388A">
              <w:rPr>
                <w:sz w:val="18"/>
                <w:szCs w:val="18"/>
              </w:rPr>
              <w:t>Target for Year 1 of LTP 24-34</w:t>
            </w:r>
          </w:p>
        </w:tc>
        <w:tc>
          <w:tcPr>
            <w:tcW w:w="1361" w:type="dxa"/>
            <w:shd w:val="clear" w:color="auto" w:fill="BFBFBF" w:themeFill="background1" w:themeFillShade="BF"/>
          </w:tcPr>
          <w:p w14:paraId="1A98B1CD" w14:textId="77777777" w:rsidR="00D42703" w:rsidRPr="00A0388A" w:rsidRDefault="00D42703" w:rsidP="00B738E2">
            <w:pPr>
              <w:rPr>
                <w:b/>
                <w:bCs/>
                <w:sz w:val="18"/>
                <w:szCs w:val="18"/>
                <w:lang w:val="en-US"/>
              </w:rPr>
            </w:pPr>
            <w:r w:rsidRPr="00A0388A">
              <w:rPr>
                <w:sz w:val="18"/>
                <w:szCs w:val="18"/>
              </w:rPr>
              <w:t>Annual Result 2024-2025</w:t>
            </w:r>
          </w:p>
        </w:tc>
        <w:tc>
          <w:tcPr>
            <w:tcW w:w="3651" w:type="dxa"/>
            <w:shd w:val="clear" w:color="auto" w:fill="BFBFBF" w:themeFill="background1" w:themeFillShade="BF"/>
          </w:tcPr>
          <w:p w14:paraId="6EE9C8FB" w14:textId="77777777" w:rsidR="00D42703" w:rsidRPr="00A0388A" w:rsidRDefault="00D42703" w:rsidP="00B738E2">
            <w:pPr>
              <w:rPr>
                <w:b/>
                <w:bCs/>
                <w:sz w:val="18"/>
                <w:szCs w:val="18"/>
                <w:lang w:val="en-US"/>
              </w:rPr>
            </w:pPr>
            <w:r w:rsidRPr="00A0388A">
              <w:rPr>
                <w:sz w:val="18"/>
                <w:szCs w:val="18"/>
              </w:rPr>
              <w:t>Commentary</w:t>
            </w:r>
          </w:p>
        </w:tc>
      </w:tr>
      <w:tr w:rsidR="00D42703" w:rsidRPr="00E641B6" w14:paraId="434F5CBE" w14:textId="77777777" w:rsidTr="00B738E2">
        <w:trPr>
          <w:cantSplit/>
          <w:trHeight w:val="15"/>
        </w:trPr>
        <w:tc>
          <w:tcPr>
            <w:tcW w:w="1838" w:type="dxa"/>
            <w:shd w:val="clear" w:color="auto" w:fill="FFFFFF" w:themeFill="background1"/>
          </w:tcPr>
          <w:p w14:paraId="640BAF44" w14:textId="765FB380" w:rsidR="00D42703" w:rsidRPr="00D42703" w:rsidRDefault="00D42703" w:rsidP="00D42703">
            <w:pPr>
              <w:rPr>
                <w:rFonts w:cs="HelveticaNeueLT Std"/>
                <w:sz w:val="18"/>
                <w:szCs w:val="18"/>
              </w:rPr>
            </w:pPr>
            <w:r w:rsidRPr="00D42703">
              <w:rPr>
                <w:sz w:val="18"/>
                <w:szCs w:val="18"/>
              </w:rPr>
              <w:t>Percentage of Material Recovery Facility (MRF) recycling contaminated.</w:t>
            </w:r>
          </w:p>
        </w:tc>
        <w:tc>
          <w:tcPr>
            <w:tcW w:w="1361" w:type="dxa"/>
            <w:shd w:val="clear" w:color="auto" w:fill="FFFFFF" w:themeFill="background1"/>
          </w:tcPr>
          <w:p w14:paraId="2F4FBBBD" w14:textId="507624EB" w:rsidR="00D42703" w:rsidRPr="00D42703" w:rsidRDefault="00D42703" w:rsidP="00D42703">
            <w:pPr>
              <w:rPr>
                <w:rFonts w:cs="HelveticaNeueLT Std"/>
                <w:sz w:val="18"/>
                <w:szCs w:val="18"/>
              </w:rPr>
            </w:pPr>
            <w:r w:rsidRPr="00D42703">
              <w:rPr>
                <w:sz w:val="18"/>
                <w:szCs w:val="18"/>
              </w:rPr>
              <w:t>14%</w:t>
            </w:r>
          </w:p>
        </w:tc>
        <w:tc>
          <w:tcPr>
            <w:tcW w:w="1361" w:type="dxa"/>
            <w:shd w:val="clear" w:color="auto" w:fill="FFFFFF" w:themeFill="background1"/>
          </w:tcPr>
          <w:p w14:paraId="20E21B0D" w14:textId="5F73291B" w:rsidR="00D42703" w:rsidRPr="00D42703" w:rsidRDefault="00D42703" w:rsidP="00D42703">
            <w:pPr>
              <w:rPr>
                <w:rFonts w:cs="HelveticaNeueLT Std"/>
                <w:sz w:val="18"/>
                <w:szCs w:val="18"/>
              </w:rPr>
            </w:pPr>
            <w:r w:rsidRPr="00D42703">
              <w:rPr>
                <w:sz w:val="18"/>
                <w:szCs w:val="18"/>
              </w:rPr>
              <w:t>&lt;20%</w:t>
            </w:r>
          </w:p>
        </w:tc>
        <w:tc>
          <w:tcPr>
            <w:tcW w:w="1361" w:type="dxa"/>
            <w:shd w:val="clear" w:color="auto" w:fill="FFFFFF" w:themeFill="background1"/>
          </w:tcPr>
          <w:p w14:paraId="1D348FF3" w14:textId="5FFCD390" w:rsidR="00D42703" w:rsidRPr="00D42703" w:rsidRDefault="00D42703" w:rsidP="00D42703">
            <w:pPr>
              <w:rPr>
                <w:rFonts w:cs="HelveticaNeueLT Std"/>
                <w:sz w:val="18"/>
                <w:szCs w:val="18"/>
              </w:rPr>
            </w:pPr>
            <w:r w:rsidRPr="00D42703">
              <w:rPr>
                <w:sz w:val="18"/>
                <w:szCs w:val="18"/>
              </w:rPr>
              <w:t>16.5%</w:t>
            </w:r>
          </w:p>
        </w:tc>
        <w:tc>
          <w:tcPr>
            <w:tcW w:w="3651" w:type="dxa"/>
            <w:shd w:val="clear" w:color="auto" w:fill="FFFFFF" w:themeFill="background1"/>
          </w:tcPr>
          <w:p w14:paraId="71B9141A" w14:textId="77777777" w:rsidR="00D42703" w:rsidRPr="0039333D" w:rsidRDefault="00D42703" w:rsidP="00D42703">
            <w:pPr>
              <w:rPr>
                <w:rFonts w:cs="HelveticaNeueLT Std"/>
                <w:b/>
                <w:bCs/>
                <w:sz w:val="18"/>
                <w:szCs w:val="18"/>
              </w:rPr>
            </w:pPr>
            <w:r w:rsidRPr="0039333D">
              <w:rPr>
                <w:rFonts w:cs="HelveticaNeueLT Std"/>
                <w:b/>
                <w:bCs/>
                <w:sz w:val="18"/>
                <w:szCs w:val="18"/>
              </w:rPr>
              <w:t>Target achieved.</w:t>
            </w:r>
          </w:p>
          <w:p w14:paraId="33259199" w14:textId="014D2497" w:rsidR="00D42703" w:rsidRPr="00D42703" w:rsidRDefault="00D42703" w:rsidP="00D42703">
            <w:pPr>
              <w:rPr>
                <w:rFonts w:cs="HelveticaNeueLT Std"/>
                <w:sz w:val="18"/>
                <w:szCs w:val="18"/>
              </w:rPr>
            </w:pPr>
            <w:r w:rsidRPr="00D42703">
              <w:rPr>
                <w:sz w:val="18"/>
                <w:szCs w:val="18"/>
              </w:rPr>
              <w:t>The result is attributable to processing changes made and ongoing education campaigns that continue to achieve desired levels of contamination.</w:t>
            </w:r>
          </w:p>
        </w:tc>
      </w:tr>
      <w:tr w:rsidR="00D42703" w:rsidRPr="00E641B6" w14:paraId="761F5FBF" w14:textId="77777777" w:rsidTr="00B738E2">
        <w:trPr>
          <w:cantSplit/>
          <w:trHeight w:val="15"/>
        </w:trPr>
        <w:tc>
          <w:tcPr>
            <w:tcW w:w="1838" w:type="dxa"/>
            <w:shd w:val="clear" w:color="auto" w:fill="FFFFFF" w:themeFill="background1"/>
          </w:tcPr>
          <w:p w14:paraId="0CF49961" w14:textId="07817034" w:rsidR="00D42703" w:rsidRPr="00D42703" w:rsidRDefault="00D42703" w:rsidP="00D42703">
            <w:pPr>
              <w:rPr>
                <w:rFonts w:cs="HelveticaNeueLT Std"/>
                <w:sz w:val="18"/>
                <w:szCs w:val="18"/>
              </w:rPr>
            </w:pPr>
            <w:r w:rsidRPr="00D42703">
              <w:rPr>
                <w:sz w:val="18"/>
                <w:szCs w:val="18"/>
              </w:rPr>
              <w:t>Total waste diverted from landfill.</w:t>
            </w:r>
          </w:p>
        </w:tc>
        <w:tc>
          <w:tcPr>
            <w:tcW w:w="1361" w:type="dxa"/>
            <w:shd w:val="clear" w:color="auto" w:fill="FFFFFF" w:themeFill="background1"/>
          </w:tcPr>
          <w:p w14:paraId="1EACDED4" w14:textId="0BBA28FA" w:rsidR="00D42703" w:rsidRPr="00D42703" w:rsidRDefault="00D42703" w:rsidP="00D42703">
            <w:pPr>
              <w:rPr>
                <w:rFonts w:cs="HelveticaNeueLT Std"/>
                <w:sz w:val="18"/>
                <w:szCs w:val="18"/>
              </w:rPr>
            </w:pPr>
            <w:r w:rsidRPr="00D42703">
              <w:rPr>
                <w:sz w:val="18"/>
                <w:szCs w:val="18"/>
              </w:rPr>
              <w:t>9,537t</w:t>
            </w:r>
          </w:p>
        </w:tc>
        <w:tc>
          <w:tcPr>
            <w:tcW w:w="1361" w:type="dxa"/>
            <w:shd w:val="clear" w:color="auto" w:fill="FFFFFF" w:themeFill="background1"/>
          </w:tcPr>
          <w:p w14:paraId="68ED3485" w14:textId="7FC2B2A1" w:rsidR="00D42703" w:rsidRPr="00D42703" w:rsidRDefault="00D42703" w:rsidP="00D42703">
            <w:pPr>
              <w:rPr>
                <w:rFonts w:cs="HelveticaNeueLT Std"/>
                <w:sz w:val="18"/>
                <w:szCs w:val="18"/>
              </w:rPr>
            </w:pPr>
            <w:r w:rsidRPr="00D42703">
              <w:rPr>
                <w:sz w:val="18"/>
                <w:szCs w:val="18"/>
              </w:rPr>
              <w:t>&gt;7,500t</w:t>
            </w:r>
          </w:p>
        </w:tc>
        <w:tc>
          <w:tcPr>
            <w:tcW w:w="1361" w:type="dxa"/>
            <w:shd w:val="clear" w:color="auto" w:fill="FFFFFF" w:themeFill="background1"/>
          </w:tcPr>
          <w:p w14:paraId="6F04B36C" w14:textId="6B4BCEB2" w:rsidR="00D42703" w:rsidRPr="00D42703" w:rsidRDefault="00D42703" w:rsidP="00D42703">
            <w:pPr>
              <w:rPr>
                <w:rFonts w:cs="HelveticaNeueLT Std"/>
                <w:sz w:val="18"/>
                <w:szCs w:val="18"/>
              </w:rPr>
            </w:pPr>
            <w:r w:rsidRPr="00D42703">
              <w:rPr>
                <w:sz w:val="18"/>
                <w:szCs w:val="18"/>
              </w:rPr>
              <w:t>10,150t</w:t>
            </w:r>
          </w:p>
        </w:tc>
        <w:tc>
          <w:tcPr>
            <w:tcW w:w="3651" w:type="dxa"/>
            <w:shd w:val="clear" w:color="auto" w:fill="FFFFFF" w:themeFill="background1"/>
          </w:tcPr>
          <w:p w14:paraId="64451AE3" w14:textId="77777777" w:rsidR="00D42703" w:rsidRPr="0039333D" w:rsidRDefault="00D42703" w:rsidP="00D42703">
            <w:pPr>
              <w:rPr>
                <w:rFonts w:cs="HelveticaNeueLT Std"/>
                <w:b/>
                <w:bCs/>
                <w:sz w:val="18"/>
                <w:szCs w:val="18"/>
              </w:rPr>
            </w:pPr>
            <w:r w:rsidRPr="0039333D">
              <w:rPr>
                <w:rFonts w:cs="HelveticaNeueLT Std"/>
                <w:b/>
                <w:bCs/>
                <w:sz w:val="18"/>
                <w:szCs w:val="18"/>
              </w:rPr>
              <w:t>Target achieved.</w:t>
            </w:r>
          </w:p>
          <w:p w14:paraId="22641FA9" w14:textId="5645832A" w:rsidR="00D42703" w:rsidRPr="00D42703" w:rsidRDefault="00D42703" w:rsidP="00D42703">
            <w:pPr>
              <w:rPr>
                <w:rFonts w:cs="HelveticaNeueLT Std"/>
                <w:sz w:val="18"/>
                <w:szCs w:val="18"/>
              </w:rPr>
            </w:pPr>
            <w:r w:rsidRPr="00D42703">
              <w:rPr>
                <w:sz w:val="18"/>
                <w:szCs w:val="18"/>
              </w:rPr>
              <w:t xml:space="preserve">On average 846 tonnes of waste was diverted from landfill per month in 2024/2025. This is better than the target </w:t>
            </w:r>
            <w:proofErr w:type="gramStart"/>
            <w:r w:rsidRPr="00D42703">
              <w:rPr>
                <w:sz w:val="18"/>
                <w:szCs w:val="18"/>
              </w:rPr>
              <w:t>and also</w:t>
            </w:r>
            <w:proofErr w:type="gramEnd"/>
            <w:r w:rsidRPr="00D42703">
              <w:rPr>
                <w:sz w:val="18"/>
                <w:szCs w:val="18"/>
              </w:rPr>
              <w:t xml:space="preserve"> higher than the average of 795 tonnes achieved the previous year.</w:t>
            </w:r>
          </w:p>
        </w:tc>
      </w:tr>
      <w:tr w:rsidR="00D42703" w:rsidRPr="00E641B6" w14:paraId="2FEDCD75" w14:textId="77777777" w:rsidTr="00B738E2">
        <w:trPr>
          <w:cantSplit/>
          <w:trHeight w:val="15"/>
        </w:trPr>
        <w:tc>
          <w:tcPr>
            <w:tcW w:w="1838" w:type="dxa"/>
            <w:shd w:val="clear" w:color="auto" w:fill="FFFFFF" w:themeFill="background1"/>
          </w:tcPr>
          <w:p w14:paraId="033B1EA6" w14:textId="43C5CFE1" w:rsidR="00D42703" w:rsidRPr="00D42703" w:rsidRDefault="00D42703" w:rsidP="00D42703">
            <w:pPr>
              <w:rPr>
                <w:rFonts w:cs="HelveticaNeueLT Std"/>
                <w:sz w:val="18"/>
                <w:szCs w:val="18"/>
              </w:rPr>
            </w:pPr>
            <w:r w:rsidRPr="00D42703">
              <w:rPr>
                <w:sz w:val="18"/>
                <w:szCs w:val="18"/>
              </w:rPr>
              <w:t>Total waste sent to landfill.</w:t>
            </w:r>
          </w:p>
        </w:tc>
        <w:tc>
          <w:tcPr>
            <w:tcW w:w="1361" w:type="dxa"/>
            <w:shd w:val="clear" w:color="auto" w:fill="FFFFFF" w:themeFill="background1"/>
          </w:tcPr>
          <w:p w14:paraId="0E137177" w14:textId="16C4BA9D" w:rsidR="00D42703" w:rsidRPr="00D42703" w:rsidRDefault="00D42703" w:rsidP="00D42703">
            <w:pPr>
              <w:rPr>
                <w:rFonts w:cs="HelveticaNeueLT Std"/>
                <w:sz w:val="18"/>
                <w:szCs w:val="18"/>
              </w:rPr>
            </w:pPr>
            <w:r w:rsidRPr="00D42703">
              <w:rPr>
                <w:sz w:val="18"/>
                <w:szCs w:val="18"/>
              </w:rPr>
              <w:t>48,110t</w:t>
            </w:r>
          </w:p>
        </w:tc>
        <w:tc>
          <w:tcPr>
            <w:tcW w:w="1361" w:type="dxa"/>
            <w:shd w:val="clear" w:color="auto" w:fill="FFFFFF" w:themeFill="background1"/>
          </w:tcPr>
          <w:p w14:paraId="1AF4ADB0" w14:textId="1437E4A4" w:rsidR="00D42703" w:rsidRPr="00D42703" w:rsidRDefault="00D42703" w:rsidP="00D42703">
            <w:pPr>
              <w:rPr>
                <w:rFonts w:cs="HelveticaNeueLT Std"/>
                <w:sz w:val="18"/>
                <w:szCs w:val="18"/>
              </w:rPr>
            </w:pPr>
            <w:r w:rsidRPr="00D42703">
              <w:rPr>
                <w:sz w:val="18"/>
                <w:szCs w:val="18"/>
              </w:rPr>
              <w:t>&lt;49,000t</w:t>
            </w:r>
          </w:p>
        </w:tc>
        <w:tc>
          <w:tcPr>
            <w:tcW w:w="1361" w:type="dxa"/>
            <w:shd w:val="clear" w:color="auto" w:fill="FFFFFF" w:themeFill="background1"/>
          </w:tcPr>
          <w:p w14:paraId="37B8000C" w14:textId="3F4B259E" w:rsidR="00D42703" w:rsidRPr="00D42703" w:rsidRDefault="00D42703" w:rsidP="00D42703">
            <w:pPr>
              <w:rPr>
                <w:rFonts w:cs="HelveticaNeueLT Std"/>
                <w:sz w:val="18"/>
                <w:szCs w:val="18"/>
              </w:rPr>
            </w:pPr>
            <w:r w:rsidRPr="00D42703">
              <w:rPr>
                <w:sz w:val="18"/>
                <w:szCs w:val="18"/>
              </w:rPr>
              <w:t>50,403t</w:t>
            </w:r>
          </w:p>
        </w:tc>
        <w:tc>
          <w:tcPr>
            <w:tcW w:w="3651" w:type="dxa"/>
            <w:shd w:val="clear" w:color="auto" w:fill="FFFFFF" w:themeFill="background1"/>
          </w:tcPr>
          <w:p w14:paraId="1492117E" w14:textId="6D7DA0D7" w:rsidR="00D42703" w:rsidRPr="0039333D" w:rsidRDefault="00D42703" w:rsidP="00D42703">
            <w:pPr>
              <w:rPr>
                <w:rFonts w:cs="HelveticaNeueLT Std"/>
                <w:b/>
                <w:bCs/>
                <w:sz w:val="18"/>
                <w:szCs w:val="18"/>
              </w:rPr>
            </w:pPr>
            <w:r w:rsidRPr="0039333D">
              <w:rPr>
                <w:rFonts w:cs="HelveticaNeueLT Std"/>
                <w:b/>
                <w:bCs/>
                <w:sz w:val="18"/>
                <w:szCs w:val="18"/>
              </w:rPr>
              <w:t xml:space="preserve">Target </w:t>
            </w:r>
            <w:r>
              <w:rPr>
                <w:rFonts w:cs="HelveticaNeueLT Std"/>
                <w:b/>
                <w:bCs/>
                <w:sz w:val="18"/>
                <w:szCs w:val="18"/>
              </w:rPr>
              <w:t xml:space="preserve">not </w:t>
            </w:r>
            <w:r w:rsidRPr="0039333D">
              <w:rPr>
                <w:rFonts w:cs="HelveticaNeueLT Std"/>
                <w:b/>
                <w:bCs/>
                <w:sz w:val="18"/>
                <w:szCs w:val="18"/>
              </w:rPr>
              <w:t>achieved.</w:t>
            </w:r>
          </w:p>
          <w:p w14:paraId="28E68E4C" w14:textId="40EF0786" w:rsidR="00D42703" w:rsidRPr="00D42703" w:rsidRDefault="00D42703" w:rsidP="00D42703">
            <w:pPr>
              <w:rPr>
                <w:rFonts w:cs="HelveticaNeueLT Std"/>
                <w:sz w:val="18"/>
                <w:szCs w:val="18"/>
              </w:rPr>
            </w:pPr>
            <w:r w:rsidRPr="00D42703">
              <w:rPr>
                <w:sz w:val="18"/>
                <w:szCs w:val="18"/>
              </w:rPr>
              <w:t>On average the total waste to landfill per month for 2024/2025 was 4,200 tonnes, slightly higher than the target. This is largely attributable to continued growth of the district and high visitor numbers. Until there is a step change in service and organics are diverted from landfill, this target will continue to be challenging to achieve.</w:t>
            </w:r>
          </w:p>
        </w:tc>
      </w:tr>
      <w:tr w:rsidR="00D42703" w:rsidRPr="00E641B6" w14:paraId="090D5298" w14:textId="77777777" w:rsidTr="00B738E2">
        <w:trPr>
          <w:cantSplit/>
          <w:trHeight w:val="15"/>
        </w:trPr>
        <w:tc>
          <w:tcPr>
            <w:tcW w:w="1838" w:type="dxa"/>
            <w:shd w:val="clear" w:color="auto" w:fill="FFFFFF" w:themeFill="background1"/>
          </w:tcPr>
          <w:p w14:paraId="1E1D121F" w14:textId="2D007373" w:rsidR="00D42703" w:rsidRPr="00D42703" w:rsidRDefault="00D42703" w:rsidP="00D42703">
            <w:pPr>
              <w:rPr>
                <w:rFonts w:cs="HelveticaNeueLT Std"/>
                <w:sz w:val="18"/>
                <w:szCs w:val="18"/>
              </w:rPr>
            </w:pPr>
            <w:r w:rsidRPr="00D42703">
              <w:rPr>
                <w:sz w:val="18"/>
                <w:szCs w:val="18"/>
              </w:rPr>
              <w:t>Percentage of external contractor and internal RFS resolved within specified timeframe - Solid Waste.</w:t>
            </w:r>
          </w:p>
        </w:tc>
        <w:tc>
          <w:tcPr>
            <w:tcW w:w="1361" w:type="dxa"/>
            <w:shd w:val="clear" w:color="auto" w:fill="FFFFFF" w:themeFill="background1"/>
          </w:tcPr>
          <w:p w14:paraId="5C4CF8FD" w14:textId="0559DF78" w:rsidR="00D42703" w:rsidRPr="00D42703" w:rsidRDefault="00D42703" w:rsidP="00D42703">
            <w:pPr>
              <w:rPr>
                <w:rFonts w:cs="HelveticaNeueLT Std"/>
                <w:sz w:val="18"/>
                <w:szCs w:val="18"/>
              </w:rPr>
            </w:pPr>
            <w:r w:rsidRPr="00D42703">
              <w:rPr>
                <w:sz w:val="18"/>
                <w:szCs w:val="18"/>
              </w:rPr>
              <w:t>98.5%</w:t>
            </w:r>
          </w:p>
        </w:tc>
        <w:tc>
          <w:tcPr>
            <w:tcW w:w="1361" w:type="dxa"/>
            <w:shd w:val="clear" w:color="auto" w:fill="FFFFFF" w:themeFill="background1"/>
          </w:tcPr>
          <w:p w14:paraId="0FF8F7ED" w14:textId="63DEA627" w:rsidR="00D42703" w:rsidRPr="00D42703" w:rsidRDefault="00D42703" w:rsidP="00D42703">
            <w:pPr>
              <w:rPr>
                <w:rFonts w:cs="HelveticaNeueLT Std"/>
                <w:sz w:val="18"/>
                <w:szCs w:val="18"/>
              </w:rPr>
            </w:pPr>
            <w:r w:rsidRPr="00D42703">
              <w:rPr>
                <w:sz w:val="18"/>
                <w:szCs w:val="18"/>
              </w:rPr>
              <w:t>&gt;95%</w:t>
            </w:r>
          </w:p>
        </w:tc>
        <w:tc>
          <w:tcPr>
            <w:tcW w:w="1361" w:type="dxa"/>
            <w:shd w:val="clear" w:color="auto" w:fill="FFFFFF" w:themeFill="background1"/>
          </w:tcPr>
          <w:p w14:paraId="5D4BF5CB" w14:textId="6F9922C5" w:rsidR="00D42703" w:rsidRPr="00D42703" w:rsidRDefault="00D42703" w:rsidP="00D42703">
            <w:pPr>
              <w:rPr>
                <w:rFonts w:cs="HelveticaNeueLT Std"/>
                <w:sz w:val="18"/>
                <w:szCs w:val="18"/>
              </w:rPr>
            </w:pPr>
            <w:r w:rsidRPr="00D42703">
              <w:rPr>
                <w:sz w:val="18"/>
                <w:szCs w:val="18"/>
              </w:rPr>
              <w:t>98.3%</w:t>
            </w:r>
          </w:p>
        </w:tc>
        <w:tc>
          <w:tcPr>
            <w:tcW w:w="3651" w:type="dxa"/>
            <w:shd w:val="clear" w:color="auto" w:fill="FFFFFF" w:themeFill="background1"/>
          </w:tcPr>
          <w:p w14:paraId="4A25509A" w14:textId="77777777" w:rsidR="00D42703" w:rsidRPr="0039333D" w:rsidRDefault="00D42703" w:rsidP="00D42703">
            <w:pPr>
              <w:rPr>
                <w:rFonts w:cs="HelveticaNeueLT Std"/>
                <w:b/>
                <w:bCs/>
                <w:sz w:val="18"/>
                <w:szCs w:val="18"/>
              </w:rPr>
            </w:pPr>
            <w:r w:rsidRPr="0039333D">
              <w:rPr>
                <w:rFonts w:cs="HelveticaNeueLT Std"/>
                <w:b/>
                <w:bCs/>
                <w:sz w:val="18"/>
                <w:szCs w:val="18"/>
              </w:rPr>
              <w:t>Target achieved.</w:t>
            </w:r>
          </w:p>
          <w:p w14:paraId="46215D83" w14:textId="60D7E264" w:rsidR="00D42703" w:rsidRPr="00D42703" w:rsidRDefault="00D42703" w:rsidP="00D42703">
            <w:pPr>
              <w:rPr>
                <w:rFonts w:cs="HelveticaNeueLT Std"/>
                <w:sz w:val="18"/>
                <w:szCs w:val="18"/>
              </w:rPr>
            </w:pPr>
            <w:r w:rsidRPr="00D42703">
              <w:rPr>
                <w:sz w:val="18"/>
                <w:szCs w:val="18"/>
              </w:rPr>
              <w:t>Even with an 11% increase in the number of Requests for Services received in 2024/2025 from the previous year, this target continues to be achieved.</w:t>
            </w:r>
          </w:p>
        </w:tc>
      </w:tr>
      <w:tr w:rsidR="00D42703" w:rsidRPr="00E641B6" w14:paraId="6E434A36" w14:textId="77777777" w:rsidTr="00B738E2">
        <w:trPr>
          <w:cantSplit/>
          <w:trHeight w:val="15"/>
        </w:trPr>
        <w:tc>
          <w:tcPr>
            <w:tcW w:w="1838" w:type="dxa"/>
            <w:shd w:val="clear" w:color="auto" w:fill="FFFFFF" w:themeFill="background1"/>
          </w:tcPr>
          <w:p w14:paraId="692FF42E" w14:textId="5514F5DC" w:rsidR="00D42703" w:rsidRPr="00D42703" w:rsidRDefault="00D42703" w:rsidP="00D42703">
            <w:pPr>
              <w:rPr>
                <w:rFonts w:cs="HelveticaNeueLT Std"/>
                <w:sz w:val="18"/>
                <w:szCs w:val="18"/>
              </w:rPr>
            </w:pPr>
            <w:r w:rsidRPr="00D42703">
              <w:rPr>
                <w:sz w:val="18"/>
                <w:szCs w:val="18"/>
              </w:rPr>
              <w:t>Percentage of total household material placed at kerbside diverted from landfill.</w:t>
            </w:r>
          </w:p>
        </w:tc>
        <w:tc>
          <w:tcPr>
            <w:tcW w:w="1361" w:type="dxa"/>
            <w:shd w:val="clear" w:color="auto" w:fill="FFFFFF" w:themeFill="background1"/>
          </w:tcPr>
          <w:p w14:paraId="6FB766E5" w14:textId="2028E977" w:rsidR="00D42703" w:rsidRPr="00D42703" w:rsidRDefault="00D42703" w:rsidP="00D42703">
            <w:pPr>
              <w:rPr>
                <w:rFonts w:cs="HelveticaNeueLT Std"/>
                <w:sz w:val="18"/>
                <w:szCs w:val="18"/>
              </w:rPr>
            </w:pPr>
            <w:r w:rsidRPr="00D42703">
              <w:rPr>
                <w:sz w:val="18"/>
                <w:szCs w:val="18"/>
              </w:rPr>
              <w:t>New Measure</w:t>
            </w:r>
          </w:p>
        </w:tc>
        <w:tc>
          <w:tcPr>
            <w:tcW w:w="1361" w:type="dxa"/>
            <w:shd w:val="clear" w:color="auto" w:fill="FFFFFF" w:themeFill="background1"/>
          </w:tcPr>
          <w:p w14:paraId="69F34564" w14:textId="5C914D53" w:rsidR="00D42703" w:rsidRPr="00D42703" w:rsidRDefault="00D42703" w:rsidP="00D42703">
            <w:pPr>
              <w:rPr>
                <w:rFonts w:cs="HelveticaNeueLT Std"/>
                <w:sz w:val="18"/>
                <w:szCs w:val="18"/>
              </w:rPr>
            </w:pPr>
            <w:r w:rsidRPr="00D42703">
              <w:rPr>
                <w:sz w:val="18"/>
                <w:szCs w:val="18"/>
              </w:rPr>
              <w:t>28%</w:t>
            </w:r>
          </w:p>
        </w:tc>
        <w:tc>
          <w:tcPr>
            <w:tcW w:w="1361" w:type="dxa"/>
            <w:shd w:val="clear" w:color="auto" w:fill="FFFFFF" w:themeFill="background1"/>
          </w:tcPr>
          <w:p w14:paraId="34BA043E" w14:textId="4D5053DA" w:rsidR="00D42703" w:rsidRPr="00D42703" w:rsidRDefault="00D42703" w:rsidP="00D42703">
            <w:pPr>
              <w:rPr>
                <w:rFonts w:cs="HelveticaNeueLT Std"/>
                <w:sz w:val="18"/>
                <w:szCs w:val="18"/>
              </w:rPr>
            </w:pPr>
            <w:r w:rsidRPr="00D42703">
              <w:rPr>
                <w:sz w:val="18"/>
                <w:szCs w:val="18"/>
              </w:rPr>
              <w:t>24.75%</w:t>
            </w:r>
          </w:p>
        </w:tc>
        <w:tc>
          <w:tcPr>
            <w:tcW w:w="3651" w:type="dxa"/>
            <w:shd w:val="clear" w:color="auto" w:fill="FFFFFF" w:themeFill="background1"/>
          </w:tcPr>
          <w:p w14:paraId="44068992" w14:textId="77777777" w:rsidR="00D42703" w:rsidRPr="0039333D" w:rsidRDefault="00D42703" w:rsidP="00D42703">
            <w:pPr>
              <w:rPr>
                <w:rFonts w:cs="HelveticaNeueLT Std"/>
                <w:b/>
                <w:bCs/>
                <w:sz w:val="18"/>
                <w:szCs w:val="18"/>
              </w:rPr>
            </w:pPr>
            <w:r w:rsidRPr="0039333D">
              <w:rPr>
                <w:rFonts w:cs="HelveticaNeueLT Std"/>
                <w:b/>
                <w:bCs/>
                <w:sz w:val="18"/>
                <w:szCs w:val="18"/>
              </w:rPr>
              <w:t xml:space="preserve">Target </w:t>
            </w:r>
            <w:r>
              <w:rPr>
                <w:rFonts w:cs="HelveticaNeueLT Std"/>
                <w:b/>
                <w:bCs/>
                <w:sz w:val="18"/>
                <w:szCs w:val="18"/>
              </w:rPr>
              <w:t xml:space="preserve">not </w:t>
            </w:r>
            <w:r w:rsidRPr="0039333D">
              <w:rPr>
                <w:rFonts w:cs="HelveticaNeueLT Std"/>
                <w:b/>
                <w:bCs/>
                <w:sz w:val="18"/>
                <w:szCs w:val="18"/>
              </w:rPr>
              <w:t>achieved.</w:t>
            </w:r>
          </w:p>
          <w:p w14:paraId="5F417C1D" w14:textId="1DAD9ED9" w:rsidR="00D42703" w:rsidRPr="00D42703" w:rsidRDefault="00D42703" w:rsidP="00D42703">
            <w:pPr>
              <w:rPr>
                <w:rFonts w:cs="HelveticaNeueLT Std"/>
                <w:sz w:val="18"/>
                <w:szCs w:val="18"/>
              </w:rPr>
            </w:pPr>
            <w:r w:rsidRPr="00D42703">
              <w:rPr>
                <w:sz w:val="18"/>
                <w:szCs w:val="18"/>
              </w:rPr>
              <w:t xml:space="preserve">This target was set to track progress against a new kerbside measure that was being introduced by the Ministry for the Environment in 2026. During December 2024 the Ministry for the Environment signalled that their earlier requirement for 30% kerbside diversion to be achieved by 2026 would no longer go ahead. The target set for 2024/2025 was not achieved. The next step change to increase kerbside diversion will be when an organic waste solution is implemented. This is currently planned for 2026/2027. </w:t>
            </w:r>
          </w:p>
        </w:tc>
      </w:tr>
    </w:tbl>
    <w:p w14:paraId="2CA73923" w14:textId="77777777" w:rsidR="00D42703" w:rsidRPr="00E641B6" w:rsidRDefault="00D42703">
      <w:pPr>
        <w:rPr>
          <w:sz w:val="24"/>
          <w:lang w:val="en-GB"/>
        </w:rPr>
      </w:pPr>
      <w:r w:rsidRPr="00E641B6">
        <w:rPr>
          <w:sz w:val="24"/>
          <w:lang w:val="en-GB"/>
        </w:rPr>
        <w:br w:type="page"/>
      </w:r>
    </w:p>
    <w:p w14:paraId="7C3B3398" w14:textId="0B4C0BD4" w:rsidR="00D42703" w:rsidRDefault="00D42703" w:rsidP="00D42703">
      <w:pPr>
        <w:pStyle w:val="Heading2"/>
        <w:rPr>
          <w:lang w:val="en-GB"/>
        </w:rPr>
      </w:pPr>
      <w:bookmarkStart w:id="43" w:name="_Toc211422655"/>
      <w:r w:rsidRPr="00D42703">
        <w:rPr>
          <w:lang w:val="en-GB"/>
        </w:rPr>
        <w:lastRenderedPageBreak/>
        <w:t xml:space="preserve">Economy </w:t>
      </w:r>
      <w:r>
        <w:rPr>
          <w:lang w:val="en-GB"/>
        </w:rPr>
        <w:t>|</w:t>
      </w:r>
      <w:r w:rsidRPr="00D42703">
        <w:rPr>
          <w:lang w:val="en-GB"/>
        </w:rPr>
        <w:t xml:space="preserve"> </w:t>
      </w:r>
      <w:proofErr w:type="spellStart"/>
      <w:r w:rsidRPr="00D42703">
        <w:rPr>
          <w:lang w:val="en-GB"/>
        </w:rPr>
        <w:t>Taiōhaka</w:t>
      </w:r>
      <w:bookmarkEnd w:id="43"/>
      <w:proofErr w:type="spellEnd"/>
    </w:p>
    <w:p w14:paraId="063753D2" w14:textId="77777777" w:rsidR="00D42703" w:rsidRPr="007B27E4" w:rsidRDefault="00D42703" w:rsidP="00D42703">
      <w:pPr>
        <w:pStyle w:val="Heading3"/>
      </w:pPr>
      <w:bookmarkStart w:id="44" w:name="_Toc211422656"/>
      <w:r w:rsidRPr="007B27E4">
        <w:t>How we performed</w:t>
      </w:r>
      <w:bookmarkEnd w:id="44"/>
    </w:p>
    <w:p w14:paraId="13974DAC" w14:textId="77777777" w:rsidR="00D42703" w:rsidRPr="00E641B6" w:rsidRDefault="00D42703" w:rsidP="00D42703">
      <w:pPr>
        <w:rPr>
          <w:sz w:val="24"/>
          <w:lang w:val="en-GB"/>
        </w:rPr>
      </w:pPr>
      <w:r w:rsidRPr="00E641B6">
        <w:rPr>
          <w:sz w:val="24"/>
          <w:lang w:val="en-GB"/>
        </w:rPr>
        <w:t>How QLDC performed against its Key Performance Indicators (KPIs).</w:t>
      </w:r>
    </w:p>
    <w:tbl>
      <w:tblPr>
        <w:tblStyle w:val="TableGrid"/>
        <w:tblW w:w="9572" w:type="dxa"/>
        <w:tblLayout w:type="fixed"/>
        <w:tblCellMar>
          <w:top w:w="115" w:type="dxa"/>
          <w:bottom w:w="115" w:type="dxa"/>
        </w:tblCellMar>
        <w:tblLook w:val="04A0" w:firstRow="1" w:lastRow="0" w:firstColumn="1" w:lastColumn="0" w:noHBand="0" w:noVBand="1"/>
      </w:tblPr>
      <w:tblGrid>
        <w:gridCol w:w="1838"/>
        <w:gridCol w:w="1361"/>
        <w:gridCol w:w="1361"/>
        <w:gridCol w:w="1361"/>
        <w:gridCol w:w="3651"/>
      </w:tblGrid>
      <w:tr w:rsidR="00D42703" w:rsidRPr="00E641B6" w14:paraId="072D32C2" w14:textId="77777777" w:rsidTr="00B738E2">
        <w:trPr>
          <w:cantSplit/>
        </w:trPr>
        <w:tc>
          <w:tcPr>
            <w:tcW w:w="1838" w:type="dxa"/>
            <w:shd w:val="clear" w:color="auto" w:fill="BFBFBF" w:themeFill="background1" w:themeFillShade="BF"/>
          </w:tcPr>
          <w:p w14:paraId="2E8B83AC" w14:textId="77777777" w:rsidR="00D42703" w:rsidRPr="00A0388A" w:rsidRDefault="00D42703" w:rsidP="00B738E2">
            <w:pPr>
              <w:rPr>
                <w:b/>
                <w:bCs/>
                <w:sz w:val="18"/>
                <w:szCs w:val="18"/>
                <w:lang w:val="en-US"/>
              </w:rPr>
            </w:pPr>
            <w:r w:rsidRPr="00A0388A">
              <w:rPr>
                <w:sz w:val="18"/>
                <w:szCs w:val="18"/>
              </w:rPr>
              <w:t>KPIs</w:t>
            </w:r>
          </w:p>
        </w:tc>
        <w:tc>
          <w:tcPr>
            <w:tcW w:w="1361" w:type="dxa"/>
            <w:shd w:val="clear" w:color="auto" w:fill="BFBFBF" w:themeFill="background1" w:themeFillShade="BF"/>
          </w:tcPr>
          <w:p w14:paraId="39471C33" w14:textId="77777777" w:rsidR="00D42703" w:rsidRPr="00A0388A" w:rsidRDefault="00D42703" w:rsidP="00B738E2">
            <w:pPr>
              <w:rPr>
                <w:b/>
                <w:bCs/>
                <w:sz w:val="18"/>
                <w:szCs w:val="18"/>
                <w:lang w:val="en-US"/>
              </w:rPr>
            </w:pPr>
            <w:r w:rsidRPr="00A0388A">
              <w:rPr>
                <w:sz w:val="18"/>
                <w:szCs w:val="18"/>
              </w:rPr>
              <w:t xml:space="preserve">Baseline Performance </w:t>
            </w:r>
            <w:proofErr w:type="gramStart"/>
            <w:r w:rsidRPr="00A0388A">
              <w:rPr>
                <w:sz w:val="18"/>
                <w:szCs w:val="18"/>
              </w:rPr>
              <w:t>at</w:t>
            </w:r>
            <w:proofErr w:type="gramEnd"/>
            <w:r w:rsidRPr="00A0388A">
              <w:rPr>
                <w:sz w:val="18"/>
                <w:szCs w:val="18"/>
              </w:rPr>
              <w:t xml:space="preserve"> 30 June 2024</w:t>
            </w:r>
          </w:p>
        </w:tc>
        <w:tc>
          <w:tcPr>
            <w:tcW w:w="1361" w:type="dxa"/>
            <w:shd w:val="clear" w:color="auto" w:fill="BFBFBF" w:themeFill="background1" w:themeFillShade="BF"/>
          </w:tcPr>
          <w:p w14:paraId="7811ABA3" w14:textId="77777777" w:rsidR="00D42703" w:rsidRPr="00A0388A" w:rsidRDefault="00D42703" w:rsidP="00B738E2">
            <w:pPr>
              <w:rPr>
                <w:b/>
                <w:bCs/>
                <w:sz w:val="18"/>
                <w:szCs w:val="18"/>
                <w:lang w:val="en-US"/>
              </w:rPr>
            </w:pPr>
            <w:r w:rsidRPr="00A0388A">
              <w:rPr>
                <w:sz w:val="18"/>
                <w:szCs w:val="18"/>
              </w:rPr>
              <w:t>Target for Year 1 of LTP 24-34</w:t>
            </w:r>
          </w:p>
        </w:tc>
        <w:tc>
          <w:tcPr>
            <w:tcW w:w="1361" w:type="dxa"/>
            <w:shd w:val="clear" w:color="auto" w:fill="BFBFBF" w:themeFill="background1" w:themeFillShade="BF"/>
          </w:tcPr>
          <w:p w14:paraId="58F2879F" w14:textId="77777777" w:rsidR="00D42703" w:rsidRPr="00A0388A" w:rsidRDefault="00D42703" w:rsidP="00B738E2">
            <w:pPr>
              <w:rPr>
                <w:b/>
                <w:bCs/>
                <w:sz w:val="18"/>
                <w:szCs w:val="18"/>
                <w:lang w:val="en-US"/>
              </w:rPr>
            </w:pPr>
            <w:r w:rsidRPr="00A0388A">
              <w:rPr>
                <w:sz w:val="18"/>
                <w:szCs w:val="18"/>
              </w:rPr>
              <w:t>Annual Result 2024-2025</w:t>
            </w:r>
          </w:p>
        </w:tc>
        <w:tc>
          <w:tcPr>
            <w:tcW w:w="3651" w:type="dxa"/>
            <w:shd w:val="clear" w:color="auto" w:fill="BFBFBF" w:themeFill="background1" w:themeFillShade="BF"/>
          </w:tcPr>
          <w:p w14:paraId="6B49BEE4" w14:textId="77777777" w:rsidR="00D42703" w:rsidRPr="00A0388A" w:rsidRDefault="00D42703" w:rsidP="00B738E2">
            <w:pPr>
              <w:rPr>
                <w:b/>
                <w:bCs/>
                <w:sz w:val="18"/>
                <w:szCs w:val="18"/>
                <w:lang w:val="en-US"/>
              </w:rPr>
            </w:pPr>
            <w:r w:rsidRPr="00A0388A">
              <w:rPr>
                <w:sz w:val="18"/>
                <w:szCs w:val="18"/>
              </w:rPr>
              <w:t>Commentary</w:t>
            </w:r>
          </w:p>
        </w:tc>
      </w:tr>
      <w:tr w:rsidR="00D42703" w:rsidRPr="00E641B6" w14:paraId="73E6B39D" w14:textId="77777777" w:rsidTr="00B738E2">
        <w:trPr>
          <w:cantSplit/>
          <w:trHeight w:val="15"/>
        </w:trPr>
        <w:tc>
          <w:tcPr>
            <w:tcW w:w="1838" w:type="dxa"/>
            <w:shd w:val="clear" w:color="auto" w:fill="FFFFFF" w:themeFill="background1"/>
          </w:tcPr>
          <w:p w14:paraId="6C00EEC0" w14:textId="615C31F1" w:rsidR="00D42703" w:rsidRPr="00D42703" w:rsidRDefault="00D42703" w:rsidP="00D42703">
            <w:pPr>
              <w:rPr>
                <w:rFonts w:cs="HelveticaNeueLT Std"/>
                <w:sz w:val="18"/>
                <w:szCs w:val="18"/>
              </w:rPr>
            </w:pPr>
            <w:r w:rsidRPr="00D42703">
              <w:rPr>
                <w:sz w:val="18"/>
                <w:szCs w:val="18"/>
              </w:rPr>
              <w:t>Percentage of residents who have participated in, performed at, or attended any events held in our district in the past 12 months.</w:t>
            </w:r>
          </w:p>
        </w:tc>
        <w:tc>
          <w:tcPr>
            <w:tcW w:w="1361" w:type="dxa"/>
            <w:shd w:val="clear" w:color="auto" w:fill="FFFFFF" w:themeFill="background1"/>
          </w:tcPr>
          <w:p w14:paraId="7AD43761" w14:textId="28F4D3D4" w:rsidR="00D42703" w:rsidRPr="00D42703" w:rsidRDefault="00D42703" w:rsidP="00D42703">
            <w:pPr>
              <w:rPr>
                <w:rFonts w:cs="HelveticaNeueLT Std"/>
                <w:sz w:val="18"/>
                <w:szCs w:val="18"/>
              </w:rPr>
            </w:pPr>
            <w:r w:rsidRPr="00D42703">
              <w:rPr>
                <w:sz w:val="18"/>
                <w:szCs w:val="18"/>
              </w:rPr>
              <w:t>45%</w:t>
            </w:r>
          </w:p>
        </w:tc>
        <w:tc>
          <w:tcPr>
            <w:tcW w:w="1361" w:type="dxa"/>
            <w:shd w:val="clear" w:color="auto" w:fill="FFFFFF" w:themeFill="background1"/>
          </w:tcPr>
          <w:p w14:paraId="3A5D795A" w14:textId="536F275C" w:rsidR="00D42703" w:rsidRPr="00D42703" w:rsidRDefault="00D42703" w:rsidP="00D42703">
            <w:pPr>
              <w:rPr>
                <w:rFonts w:cs="HelveticaNeueLT Std"/>
                <w:sz w:val="18"/>
                <w:szCs w:val="18"/>
              </w:rPr>
            </w:pPr>
            <w:r w:rsidRPr="00D42703">
              <w:rPr>
                <w:sz w:val="18"/>
                <w:szCs w:val="18"/>
              </w:rPr>
              <w:t>&gt;70%</w:t>
            </w:r>
          </w:p>
        </w:tc>
        <w:tc>
          <w:tcPr>
            <w:tcW w:w="1361" w:type="dxa"/>
            <w:shd w:val="clear" w:color="auto" w:fill="FFFFFF" w:themeFill="background1"/>
          </w:tcPr>
          <w:p w14:paraId="2F0547F0" w14:textId="6A45C8DD" w:rsidR="00D42703" w:rsidRPr="00D42703" w:rsidRDefault="00D42703" w:rsidP="00D42703">
            <w:pPr>
              <w:rPr>
                <w:rFonts w:cs="HelveticaNeueLT Std"/>
                <w:sz w:val="18"/>
                <w:szCs w:val="18"/>
              </w:rPr>
            </w:pPr>
            <w:r w:rsidRPr="00D42703">
              <w:rPr>
                <w:sz w:val="18"/>
                <w:szCs w:val="18"/>
              </w:rPr>
              <w:t>59%</w:t>
            </w:r>
          </w:p>
        </w:tc>
        <w:tc>
          <w:tcPr>
            <w:tcW w:w="3651" w:type="dxa"/>
            <w:shd w:val="clear" w:color="auto" w:fill="FFFFFF" w:themeFill="background1"/>
          </w:tcPr>
          <w:p w14:paraId="0B547599" w14:textId="77777777" w:rsidR="00D42703" w:rsidRPr="0039333D" w:rsidRDefault="00D42703" w:rsidP="00D42703">
            <w:pPr>
              <w:rPr>
                <w:rFonts w:cs="HelveticaNeueLT Std"/>
                <w:b/>
                <w:bCs/>
                <w:sz w:val="18"/>
                <w:szCs w:val="18"/>
              </w:rPr>
            </w:pPr>
            <w:r w:rsidRPr="0039333D">
              <w:rPr>
                <w:rFonts w:cs="HelveticaNeueLT Std"/>
                <w:b/>
                <w:bCs/>
                <w:sz w:val="18"/>
                <w:szCs w:val="18"/>
              </w:rPr>
              <w:t xml:space="preserve">Target </w:t>
            </w:r>
            <w:r>
              <w:rPr>
                <w:rFonts w:cs="HelveticaNeueLT Std"/>
                <w:b/>
                <w:bCs/>
                <w:sz w:val="18"/>
                <w:szCs w:val="18"/>
              </w:rPr>
              <w:t xml:space="preserve">not </w:t>
            </w:r>
            <w:r w:rsidRPr="0039333D">
              <w:rPr>
                <w:rFonts w:cs="HelveticaNeueLT Std"/>
                <w:b/>
                <w:bCs/>
                <w:sz w:val="18"/>
                <w:szCs w:val="18"/>
              </w:rPr>
              <w:t>achieved.</w:t>
            </w:r>
          </w:p>
          <w:p w14:paraId="04C425B1" w14:textId="1237BB54" w:rsidR="00D42703" w:rsidRPr="00D42703" w:rsidRDefault="00D42703" w:rsidP="00D42703">
            <w:pPr>
              <w:rPr>
                <w:rFonts w:cs="HelveticaNeueLT Std"/>
                <w:sz w:val="18"/>
                <w:szCs w:val="18"/>
              </w:rPr>
            </w:pPr>
            <w:r w:rsidRPr="00D42703">
              <w:rPr>
                <w:sz w:val="18"/>
                <w:szCs w:val="18"/>
              </w:rPr>
              <w:t>59% of residents indicated they have attended, participated in, or performed at any event in the district in the last 12 months. While not reaching the target it is a significant increase on the baseline measure. Factors that may have limited this result include some events being cancelled in 24/25, and the cost of living impacting on event ticket sales.</w:t>
            </w:r>
          </w:p>
        </w:tc>
      </w:tr>
      <w:tr w:rsidR="00D42703" w:rsidRPr="00E641B6" w14:paraId="6CEA3090" w14:textId="77777777" w:rsidTr="00B738E2">
        <w:trPr>
          <w:cantSplit/>
          <w:trHeight w:val="15"/>
        </w:trPr>
        <w:tc>
          <w:tcPr>
            <w:tcW w:w="1838" w:type="dxa"/>
            <w:shd w:val="clear" w:color="auto" w:fill="FFFFFF" w:themeFill="background1"/>
          </w:tcPr>
          <w:p w14:paraId="748596B4" w14:textId="7F1A2E59" w:rsidR="00D42703" w:rsidRPr="00D42703" w:rsidRDefault="00D42703" w:rsidP="00D42703">
            <w:pPr>
              <w:rPr>
                <w:rFonts w:cs="HelveticaNeueLT Std"/>
                <w:sz w:val="18"/>
                <w:szCs w:val="18"/>
              </w:rPr>
            </w:pPr>
            <w:r w:rsidRPr="00D42703">
              <w:rPr>
                <w:sz w:val="18"/>
                <w:szCs w:val="18"/>
              </w:rPr>
              <w:t>Percentage of QLDC actions delivered to target as per the Implementation Plan of the Economic Diversification Plan.</w:t>
            </w:r>
          </w:p>
        </w:tc>
        <w:tc>
          <w:tcPr>
            <w:tcW w:w="1361" w:type="dxa"/>
            <w:shd w:val="clear" w:color="auto" w:fill="FFFFFF" w:themeFill="background1"/>
          </w:tcPr>
          <w:p w14:paraId="43F35D38" w14:textId="2A710C50" w:rsidR="00D42703" w:rsidRPr="00D42703" w:rsidRDefault="00D42703" w:rsidP="00D42703">
            <w:pPr>
              <w:rPr>
                <w:rFonts w:cs="HelveticaNeueLT Std"/>
                <w:sz w:val="18"/>
                <w:szCs w:val="18"/>
              </w:rPr>
            </w:pPr>
            <w:r w:rsidRPr="00D42703">
              <w:rPr>
                <w:sz w:val="18"/>
                <w:szCs w:val="18"/>
              </w:rPr>
              <w:t xml:space="preserve">New Measure </w:t>
            </w:r>
          </w:p>
        </w:tc>
        <w:tc>
          <w:tcPr>
            <w:tcW w:w="1361" w:type="dxa"/>
            <w:shd w:val="clear" w:color="auto" w:fill="FFFFFF" w:themeFill="background1"/>
          </w:tcPr>
          <w:p w14:paraId="6A4C017C" w14:textId="4DF215D4" w:rsidR="00D42703" w:rsidRPr="00D42703" w:rsidRDefault="00D42703" w:rsidP="00D42703">
            <w:pPr>
              <w:rPr>
                <w:rFonts w:cs="HelveticaNeueLT Std"/>
                <w:sz w:val="18"/>
                <w:szCs w:val="18"/>
              </w:rPr>
            </w:pPr>
            <w:r w:rsidRPr="00D42703">
              <w:rPr>
                <w:sz w:val="18"/>
                <w:szCs w:val="18"/>
              </w:rPr>
              <w:t>90%</w:t>
            </w:r>
          </w:p>
        </w:tc>
        <w:tc>
          <w:tcPr>
            <w:tcW w:w="1361" w:type="dxa"/>
            <w:shd w:val="clear" w:color="auto" w:fill="FFFFFF" w:themeFill="background1"/>
          </w:tcPr>
          <w:p w14:paraId="00E1F194" w14:textId="5B3C4BC4" w:rsidR="00D42703" w:rsidRPr="00D42703" w:rsidRDefault="00D42703" w:rsidP="00D42703">
            <w:pPr>
              <w:rPr>
                <w:rFonts w:cs="HelveticaNeueLT Std"/>
                <w:sz w:val="18"/>
                <w:szCs w:val="18"/>
              </w:rPr>
            </w:pPr>
            <w:r w:rsidRPr="00D42703">
              <w:rPr>
                <w:sz w:val="18"/>
                <w:szCs w:val="18"/>
              </w:rPr>
              <w:t>64%</w:t>
            </w:r>
          </w:p>
        </w:tc>
        <w:tc>
          <w:tcPr>
            <w:tcW w:w="3651" w:type="dxa"/>
            <w:shd w:val="clear" w:color="auto" w:fill="FFFFFF" w:themeFill="background1"/>
          </w:tcPr>
          <w:p w14:paraId="4230147F" w14:textId="77777777" w:rsidR="00D42703" w:rsidRPr="0039333D" w:rsidRDefault="00D42703" w:rsidP="00D42703">
            <w:pPr>
              <w:rPr>
                <w:rFonts w:cs="HelveticaNeueLT Std"/>
                <w:b/>
                <w:bCs/>
                <w:sz w:val="18"/>
                <w:szCs w:val="18"/>
              </w:rPr>
            </w:pPr>
            <w:r w:rsidRPr="0039333D">
              <w:rPr>
                <w:rFonts w:cs="HelveticaNeueLT Std"/>
                <w:b/>
                <w:bCs/>
                <w:sz w:val="18"/>
                <w:szCs w:val="18"/>
              </w:rPr>
              <w:t xml:space="preserve">Target </w:t>
            </w:r>
            <w:r>
              <w:rPr>
                <w:rFonts w:cs="HelveticaNeueLT Std"/>
                <w:b/>
                <w:bCs/>
                <w:sz w:val="18"/>
                <w:szCs w:val="18"/>
              </w:rPr>
              <w:t xml:space="preserve">not </w:t>
            </w:r>
            <w:r w:rsidRPr="0039333D">
              <w:rPr>
                <w:rFonts w:cs="HelveticaNeueLT Std"/>
                <w:b/>
                <w:bCs/>
                <w:sz w:val="18"/>
                <w:szCs w:val="18"/>
              </w:rPr>
              <w:t>achieved.</w:t>
            </w:r>
          </w:p>
          <w:p w14:paraId="745B481B" w14:textId="333391AB" w:rsidR="00D42703" w:rsidRPr="00D42703" w:rsidRDefault="00D42703" w:rsidP="00D42703">
            <w:pPr>
              <w:rPr>
                <w:rFonts w:cs="HelveticaNeueLT Std"/>
                <w:sz w:val="18"/>
                <w:szCs w:val="18"/>
              </w:rPr>
            </w:pPr>
            <w:r w:rsidRPr="00D42703">
              <w:rPr>
                <w:sz w:val="18"/>
                <w:szCs w:val="18"/>
              </w:rPr>
              <w:t xml:space="preserve">7 of the 11 actions assigned to QLDC were completed. The ability to deliver on the </w:t>
            </w:r>
            <w:proofErr w:type="gramStart"/>
            <w:r w:rsidRPr="00D42703">
              <w:rPr>
                <w:sz w:val="18"/>
                <w:szCs w:val="18"/>
              </w:rPr>
              <w:t>first year</w:t>
            </w:r>
            <w:proofErr w:type="gramEnd"/>
            <w:r w:rsidRPr="00D42703">
              <w:rPr>
                <w:sz w:val="18"/>
                <w:szCs w:val="18"/>
              </w:rPr>
              <w:t xml:space="preserve"> actions was restricted by the fact the Diversification Plan was not endorsed until August 2024 and that the capacity of the Economic Futures team was limited until April 2025 (when an advisor focussed on diversification was recruited).</w:t>
            </w:r>
          </w:p>
        </w:tc>
      </w:tr>
      <w:tr w:rsidR="00D42703" w:rsidRPr="00E641B6" w14:paraId="58FE269E" w14:textId="77777777" w:rsidTr="00B738E2">
        <w:trPr>
          <w:cantSplit/>
          <w:trHeight w:val="15"/>
        </w:trPr>
        <w:tc>
          <w:tcPr>
            <w:tcW w:w="1838" w:type="dxa"/>
            <w:shd w:val="clear" w:color="auto" w:fill="FFFFFF" w:themeFill="background1"/>
          </w:tcPr>
          <w:p w14:paraId="6F55EEC8" w14:textId="5C682370" w:rsidR="00D42703" w:rsidRPr="00D42703" w:rsidRDefault="00D42703" w:rsidP="00D42703">
            <w:pPr>
              <w:rPr>
                <w:rFonts w:cs="HelveticaNeueLT Std"/>
                <w:sz w:val="18"/>
                <w:szCs w:val="18"/>
              </w:rPr>
            </w:pPr>
            <w:r w:rsidRPr="00D42703">
              <w:rPr>
                <w:sz w:val="18"/>
                <w:szCs w:val="18"/>
              </w:rPr>
              <w:t>Percentage of QLDC actions delivered to target as per the Implementation Plan of the Destination Management Plan.</w:t>
            </w:r>
          </w:p>
        </w:tc>
        <w:tc>
          <w:tcPr>
            <w:tcW w:w="1361" w:type="dxa"/>
            <w:shd w:val="clear" w:color="auto" w:fill="FFFFFF" w:themeFill="background1"/>
          </w:tcPr>
          <w:p w14:paraId="4EB67334" w14:textId="2224631F" w:rsidR="00D42703" w:rsidRPr="00D42703" w:rsidRDefault="00D42703" w:rsidP="00D42703">
            <w:pPr>
              <w:rPr>
                <w:rFonts w:cs="HelveticaNeueLT Std"/>
                <w:sz w:val="18"/>
                <w:szCs w:val="18"/>
              </w:rPr>
            </w:pPr>
            <w:r w:rsidRPr="00D42703">
              <w:rPr>
                <w:sz w:val="18"/>
                <w:szCs w:val="18"/>
              </w:rPr>
              <w:t>New Measure</w:t>
            </w:r>
          </w:p>
        </w:tc>
        <w:tc>
          <w:tcPr>
            <w:tcW w:w="1361" w:type="dxa"/>
            <w:shd w:val="clear" w:color="auto" w:fill="FFFFFF" w:themeFill="background1"/>
          </w:tcPr>
          <w:p w14:paraId="486E782B" w14:textId="68FB5129" w:rsidR="00D42703" w:rsidRPr="00D42703" w:rsidRDefault="00D42703" w:rsidP="00D42703">
            <w:pPr>
              <w:rPr>
                <w:rFonts w:cs="HelveticaNeueLT Std"/>
                <w:sz w:val="18"/>
                <w:szCs w:val="18"/>
              </w:rPr>
            </w:pPr>
            <w:r w:rsidRPr="00D42703">
              <w:rPr>
                <w:sz w:val="18"/>
                <w:szCs w:val="18"/>
              </w:rPr>
              <w:t>90%</w:t>
            </w:r>
          </w:p>
        </w:tc>
        <w:tc>
          <w:tcPr>
            <w:tcW w:w="1361" w:type="dxa"/>
            <w:shd w:val="clear" w:color="auto" w:fill="FFFFFF" w:themeFill="background1"/>
          </w:tcPr>
          <w:p w14:paraId="5104E123" w14:textId="0C6574E1" w:rsidR="00D42703" w:rsidRPr="00D42703" w:rsidRDefault="00D42703" w:rsidP="00D42703">
            <w:pPr>
              <w:rPr>
                <w:rFonts w:cs="HelveticaNeueLT Std"/>
                <w:sz w:val="18"/>
                <w:szCs w:val="18"/>
              </w:rPr>
            </w:pPr>
            <w:r w:rsidRPr="00D42703">
              <w:rPr>
                <w:sz w:val="18"/>
                <w:szCs w:val="18"/>
              </w:rPr>
              <w:t>100%</w:t>
            </w:r>
          </w:p>
        </w:tc>
        <w:tc>
          <w:tcPr>
            <w:tcW w:w="3651" w:type="dxa"/>
            <w:shd w:val="clear" w:color="auto" w:fill="FFFFFF" w:themeFill="background1"/>
          </w:tcPr>
          <w:p w14:paraId="498F2287" w14:textId="132C7F72" w:rsidR="00D42703" w:rsidRPr="0039333D" w:rsidRDefault="00D42703" w:rsidP="00D42703">
            <w:pPr>
              <w:rPr>
                <w:rFonts w:cs="HelveticaNeueLT Std"/>
                <w:b/>
                <w:bCs/>
                <w:sz w:val="18"/>
                <w:szCs w:val="18"/>
              </w:rPr>
            </w:pPr>
            <w:r w:rsidRPr="0039333D">
              <w:rPr>
                <w:rFonts w:cs="HelveticaNeueLT Std"/>
                <w:b/>
                <w:bCs/>
                <w:sz w:val="18"/>
                <w:szCs w:val="18"/>
              </w:rPr>
              <w:t>Target achieved.</w:t>
            </w:r>
          </w:p>
          <w:p w14:paraId="371C6FEA" w14:textId="2B418D31" w:rsidR="00D42703" w:rsidRPr="00D42703" w:rsidRDefault="00D42703" w:rsidP="00D42703">
            <w:pPr>
              <w:rPr>
                <w:rFonts w:cs="HelveticaNeueLT Std"/>
                <w:sz w:val="18"/>
                <w:szCs w:val="18"/>
              </w:rPr>
            </w:pPr>
            <w:r w:rsidRPr="00D42703">
              <w:rPr>
                <w:sz w:val="18"/>
                <w:szCs w:val="18"/>
              </w:rPr>
              <w:t xml:space="preserve">QLDC was responsible for leading the delivery of three Destination Management Plan actions scheduled to commence in FY24–25. All three have been initiated. As well as leading on three projects, QLDC has been working in collaboration with Destination Queenstown/Lake </w:t>
            </w:r>
            <w:proofErr w:type="spellStart"/>
            <w:r w:rsidRPr="00D42703">
              <w:rPr>
                <w:sz w:val="18"/>
                <w:szCs w:val="18"/>
              </w:rPr>
              <w:t>Wānaka</w:t>
            </w:r>
            <w:proofErr w:type="spellEnd"/>
            <w:r w:rsidRPr="00D42703">
              <w:rPr>
                <w:sz w:val="18"/>
                <w:szCs w:val="18"/>
              </w:rPr>
              <w:t xml:space="preserve"> Tourism on a wide range of other DMP projects.</w:t>
            </w:r>
          </w:p>
        </w:tc>
      </w:tr>
    </w:tbl>
    <w:p w14:paraId="6785B337" w14:textId="77777777" w:rsidR="00D42703" w:rsidRPr="00E641B6" w:rsidRDefault="00D42703">
      <w:pPr>
        <w:rPr>
          <w:sz w:val="24"/>
          <w:lang w:val="en-GB"/>
        </w:rPr>
      </w:pPr>
      <w:r w:rsidRPr="00E641B6">
        <w:rPr>
          <w:sz w:val="24"/>
          <w:lang w:val="en-GB"/>
        </w:rPr>
        <w:br w:type="page"/>
      </w:r>
    </w:p>
    <w:p w14:paraId="2B017E09" w14:textId="06A35909" w:rsidR="00D42703" w:rsidRDefault="00D42703" w:rsidP="00D42703">
      <w:pPr>
        <w:pStyle w:val="Heading2"/>
        <w:rPr>
          <w:lang w:val="en-GB"/>
        </w:rPr>
      </w:pPr>
      <w:bookmarkStart w:id="45" w:name="_Toc211422657"/>
      <w:r w:rsidRPr="00D42703">
        <w:rPr>
          <w:lang w:val="en-GB"/>
        </w:rPr>
        <w:lastRenderedPageBreak/>
        <w:t xml:space="preserve">Regulatory functions and services </w:t>
      </w:r>
      <w:r>
        <w:rPr>
          <w:lang w:val="en-GB"/>
        </w:rPr>
        <w:t>|</w:t>
      </w:r>
      <w:r w:rsidRPr="00D42703">
        <w:rPr>
          <w:lang w:val="en-GB"/>
        </w:rPr>
        <w:t xml:space="preserve"> </w:t>
      </w:r>
      <w:proofErr w:type="spellStart"/>
      <w:r w:rsidRPr="00D42703">
        <w:rPr>
          <w:lang w:val="en-GB"/>
        </w:rPr>
        <w:t>Kā</w:t>
      </w:r>
      <w:proofErr w:type="spellEnd"/>
      <w:r w:rsidRPr="00D42703">
        <w:rPr>
          <w:lang w:val="en-GB"/>
        </w:rPr>
        <w:t xml:space="preserve"> mahi me </w:t>
      </w:r>
      <w:proofErr w:type="spellStart"/>
      <w:r w:rsidRPr="00D42703">
        <w:rPr>
          <w:lang w:val="en-GB"/>
        </w:rPr>
        <w:t>kā</w:t>
      </w:r>
      <w:proofErr w:type="spellEnd"/>
      <w:r w:rsidRPr="00D42703">
        <w:rPr>
          <w:lang w:val="en-GB"/>
        </w:rPr>
        <w:t xml:space="preserve"> </w:t>
      </w:r>
      <w:proofErr w:type="spellStart"/>
      <w:r w:rsidRPr="00D42703">
        <w:rPr>
          <w:lang w:val="en-GB"/>
        </w:rPr>
        <w:t>ratoka</w:t>
      </w:r>
      <w:proofErr w:type="spellEnd"/>
      <w:r w:rsidRPr="00D42703">
        <w:rPr>
          <w:lang w:val="en-GB"/>
        </w:rPr>
        <w:t xml:space="preserve"> ā-</w:t>
      </w:r>
      <w:proofErr w:type="spellStart"/>
      <w:r w:rsidRPr="00D42703">
        <w:rPr>
          <w:lang w:val="en-GB"/>
        </w:rPr>
        <w:t>waiture</w:t>
      </w:r>
      <w:bookmarkEnd w:id="45"/>
      <w:proofErr w:type="spellEnd"/>
    </w:p>
    <w:p w14:paraId="734CFBA7" w14:textId="77777777" w:rsidR="00D42703" w:rsidRPr="007B27E4" w:rsidRDefault="00D42703" w:rsidP="00D42703">
      <w:pPr>
        <w:pStyle w:val="Heading3"/>
      </w:pPr>
      <w:bookmarkStart w:id="46" w:name="_Toc211422658"/>
      <w:r w:rsidRPr="007B27E4">
        <w:t>How we performed</w:t>
      </w:r>
      <w:bookmarkEnd w:id="46"/>
    </w:p>
    <w:p w14:paraId="6B5F3472" w14:textId="77777777" w:rsidR="00D42703" w:rsidRPr="00E641B6" w:rsidRDefault="00D42703" w:rsidP="00D42703">
      <w:pPr>
        <w:rPr>
          <w:sz w:val="24"/>
          <w:lang w:val="en-GB"/>
        </w:rPr>
      </w:pPr>
      <w:r w:rsidRPr="00E641B6">
        <w:rPr>
          <w:sz w:val="24"/>
          <w:lang w:val="en-GB"/>
        </w:rPr>
        <w:t>How QLDC performed against its Key Performance Indicators (KPIs).</w:t>
      </w:r>
    </w:p>
    <w:tbl>
      <w:tblPr>
        <w:tblStyle w:val="TableGrid"/>
        <w:tblW w:w="9572" w:type="dxa"/>
        <w:tblLayout w:type="fixed"/>
        <w:tblCellMar>
          <w:top w:w="115" w:type="dxa"/>
          <w:bottom w:w="115" w:type="dxa"/>
        </w:tblCellMar>
        <w:tblLook w:val="04A0" w:firstRow="1" w:lastRow="0" w:firstColumn="1" w:lastColumn="0" w:noHBand="0" w:noVBand="1"/>
      </w:tblPr>
      <w:tblGrid>
        <w:gridCol w:w="1838"/>
        <w:gridCol w:w="1361"/>
        <w:gridCol w:w="1361"/>
        <w:gridCol w:w="1361"/>
        <w:gridCol w:w="3651"/>
      </w:tblGrid>
      <w:tr w:rsidR="00D42703" w:rsidRPr="00E641B6" w14:paraId="18D8EF55" w14:textId="77777777" w:rsidTr="00B738E2">
        <w:trPr>
          <w:cantSplit/>
        </w:trPr>
        <w:tc>
          <w:tcPr>
            <w:tcW w:w="1838" w:type="dxa"/>
            <w:shd w:val="clear" w:color="auto" w:fill="BFBFBF" w:themeFill="background1" w:themeFillShade="BF"/>
          </w:tcPr>
          <w:p w14:paraId="3E6BE024" w14:textId="77777777" w:rsidR="00D42703" w:rsidRPr="00A0388A" w:rsidRDefault="00D42703" w:rsidP="00B738E2">
            <w:pPr>
              <w:rPr>
                <w:b/>
                <w:bCs/>
                <w:sz w:val="18"/>
                <w:szCs w:val="18"/>
                <w:lang w:val="en-US"/>
              </w:rPr>
            </w:pPr>
            <w:r w:rsidRPr="00A0388A">
              <w:rPr>
                <w:sz w:val="18"/>
                <w:szCs w:val="18"/>
              </w:rPr>
              <w:t>KPIs</w:t>
            </w:r>
          </w:p>
        </w:tc>
        <w:tc>
          <w:tcPr>
            <w:tcW w:w="1361" w:type="dxa"/>
            <w:shd w:val="clear" w:color="auto" w:fill="BFBFBF" w:themeFill="background1" w:themeFillShade="BF"/>
          </w:tcPr>
          <w:p w14:paraId="4B82A01E" w14:textId="77777777" w:rsidR="00D42703" w:rsidRPr="00A0388A" w:rsidRDefault="00D42703" w:rsidP="00B738E2">
            <w:pPr>
              <w:rPr>
                <w:b/>
                <w:bCs/>
                <w:sz w:val="18"/>
                <w:szCs w:val="18"/>
                <w:lang w:val="en-US"/>
              </w:rPr>
            </w:pPr>
            <w:r w:rsidRPr="00A0388A">
              <w:rPr>
                <w:sz w:val="18"/>
                <w:szCs w:val="18"/>
              </w:rPr>
              <w:t xml:space="preserve">Baseline Performance </w:t>
            </w:r>
            <w:proofErr w:type="gramStart"/>
            <w:r w:rsidRPr="00A0388A">
              <w:rPr>
                <w:sz w:val="18"/>
                <w:szCs w:val="18"/>
              </w:rPr>
              <w:t>at</w:t>
            </w:r>
            <w:proofErr w:type="gramEnd"/>
            <w:r w:rsidRPr="00A0388A">
              <w:rPr>
                <w:sz w:val="18"/>
                <w:szCs w:val="18"/>
              </w:rPr>
              <w:t xml:space="preserve"> 30 June 2024</w:t>
            </w:r>
          </w:p>
        </w:tc>
        <w:tc>
          <w:tcPr>
            <w:tcW w:w="1361" w:type="dxa"/>
            <w:shd w:val="clear" w:color="auto" w:fill="BFBFBF" w:themeFill="background1" w:themeFillShade="BF"/>
          </w:tcPr>
          <w:p w14:paraId="6D456CF9" w14:textId="77777777" w:rsidR="00D42703" w:rsidRPr="00A0388A" w:rsidRDefault="00D42703" w:rsidP="00B738E2">
            <w:pPr>
              <w:rPr>
                <w:b/>
                <w:bCs/>
                <w:sz w:val="18"/>
                <w:szCs w:val="18"/>
                <w:lang w:val="en-US"/>
              </w:rPr>
            </w:pPr>
            <w:r w:rsidRPr="00A0388A">
              <w:rPr>
                <w:sz w:val="18"/>
                <w:szCs w:val="18"/>
              </w:rPr>
              <w:t>Target for Year 1 of LTP 24-34</w:t>
            </w:r>
          </w:p>
        </w:tc>
        <w:tc>
          <w:tcPr>
            <w:tcW w:w="1361" w:type="dxa"/>
            <w:shd w:val="clear" w:color="auto" w:fill="BFBFBF" w:themeFill="background1" w:themeFillShade="BF"/>
          </w:tcPr>
          <w:p w14:paraId="1B7270A4" w14:textId="77777777" w:rsidR="00D42703" w:rsidRPr="00A0388A" w:rsidRDefault="00D42703" w:rsidP="00B738E2">
            <w:pPr>
              <w:rPr>
                <w:b/>
                <w:bCs/>
                <w:sz w:val="18"/>
                <w:szCs w:val="18"/>
                <w:lang w:val="en-US"/>
              </w:rPr>
            </w:pPr>
            <w:r w:rsidRPr="00A0388A">
              <w:rPr>
                <w:sz w:val="18"/>
                <w:szCs w:val="18"/>
              </w:rPr>
              <w:t>Annual Result 2024-2025</w:t>
            </w:r>
          </w:p>
        </w:tc>
        <w:tc>
          <w:tcPr>
            <w:tcW w:w="3651" w:type="dxa"/>
            <w:shd w:val="clear" w:color="auto" w:fill="BFBFBF" w:themeFill="background1" w:themeFillShade="BF"/>
          </w:tcPr>
          <w:p w14:paraId="1057F183" w14:textId="77777777" w:rsidR="00D42703" w:rsidRPr="00A0388A" w:rsidRDefault="00D42703" w:rsidP="00B738E2">
            <w:pPr>
              <w:rPr>
                <w:b/>
                <w:bCs/>
                <w:sz w:val="18"/>
                <w:szCs w:val="18"/>
                <w:lang w:val="en-US"/>
              </w:rPr>
            </w:pPr>
            <w:r w:rsidRPr="00A0388A">
              <w:rPr>
                <w:sz w:val="18"/>
                <w:szCs w:val="18"/>
              </w:rPr>
              <w:t>Commentary</w:t>
            </w:r>
          </w:p>
        </w:tc>
      </w:tr>
      <w:tr w:rsidR="00CC6FBB" w:rsidRPr="00E641B6" w14:paraId="78D48730" w14:textId="77777777" w:rsidTr="00B738E2">
        <w:trPr>
          <w:cantSplit/>
          <w:trHeight w:val="15"/>
        </w:trPr>
        <w:tc>
          <w:tcPr>
            <w:tcW w:w="1838" w:type="dxa"/>
            <w:shd w:val="clear" w:color="auto" w:fill="FFFFFF" w:themeFill="background1"/>
          </w:tcPr>
          <w:p w14:paraId="556240F5" w14:textId="797E50CB" w:rsidR="00CC6FBB" w:rsidRPr="00CC6FBB" w:rsidRDefault="00CC6FBB" w:rsidP="00CC6FBB">
            <w:pPr>
              <w:rPr>
                <w:rFonts w:cs="HelveticaNeueLT Std"/>
                <w:sz w:val="18"/>
                <w:szCs w:val="18"/>
              </w:rPr>
            </w:pPr>
            <w:r w:rsidRPr="00CC6FBB">
              <w:rPr>
                <w:sz w:val="18"/>
                <w:szCs w:val="18"/>
              </w:rPr>
              <w:t>Resource consents listed as 'priority' in the Monitoring Strategy are proactively monitored.</w:t>
            </w:r>
          </w:p>
        </w:tc>
        <w:tc>
          <w:tcPr>
            <w:tcW w:w="1361" w:type="dxa"/>
            <w:shd w:val="clear" w:color="auto" w:fill="FFFFFF" w:themeFill="background1"/>
          </w:tcPr>
          <w:p w14:paraId="3562CFDF" w14:textId="7DEE75CD" w:rsidR="00CC6FBB" w:rsidRPr="00CC6FBB" w:rsidRDefault="00CC6FBB" w:rsidP="00CC6FBB">
            <w:pPr>
              <w:rPr>
                <w:rFonts w:cs="HelveticaNeueLT Std"/>
                <w:sz w:val="18"/>
                <w:szCs w:val="18"/>
              </w:rPr>
            </w:pPr>
            <w:r w:rsidRPr="00CC6FBB">
              <w:rPr>
                <w:sz w:val="18"/>
                <w:szCs w:val="18"/>
              </w:rPr>
              <w:t>100%</w:t>
            </w:r>
          </w:p>
        </w:tc>
        <w:tc>
          <w:tcPr>
            <w:tcW w:w="1361" w:type="dxa"/>
            <w:shd w:val="clear" w:color="auto" w:fill="FFFFFF" w:themeFill="background1"/>
          </w:tcPr>
          <w:p w14:paraId="2ACD61D3" w14:textId="402A35A1" w:rsidR="00CC6FBB" w:rsidRPr="00CC6FBB" w:rsidRDefault="00CC6FBB" w:rsidP="00CC6FBB">
            <w:pPr>
              <w:rPr>
                <w:rFonts w:cs="HelveticaNeueLT Std"/>
                <w:sz w:val="18"/>
                <w:szCs w:val="18"/>
              </w:rPr>
            </w:pPr>
            <w:r w:rsidRPr="00CC6FBB">
              <w:rPr>
                <w:sz w:val="18"/>
                <w:szCs w:val="18"/>
              </w:rPr>
              <w:t>100%</w:t>
            </w:r>
          </w:p>
        </w:tc>
        <w:tc>
          <w:tcPr>
            <w:tcW w:w="1361" w:type="dxa"/>
            <w:shd w:val="clear" w:color="auto" w:fill="FFFFFF" w:themeFill="background1"/>
          </w:tcPr>
          <w:p w14:paraId="242E9DE4" w14:textId="2E583A94" w:rsidR="00CC6FBB" w:rsidRPr="00CC6FBB" w:rsidRDefault="00CC6FBB" w:rsidP="00CC6FBB">
            <w:pPr>
              <w:rPr>
                <w:rFonts w:cs="HelveticaNeueLT Std"/>
                <w:sz w:val="18"/>
                <w:szCs w:val="18"/>
              </w:rPr>
            </w:pPr>
            <w:r w:rsidRPr="00CC6FBB">
              <w:rPr>
                <w:sz w:val="18"/>
                <w:szCs w:val="18"/>
              </w:rPr>
              <w:t>100%</w:t>
            </w:r>
          </w:p>
        </w:tc>
        <w:tc>
          <w:tcPr>
            <w:tcW w:w="3651" w:type="dxa"/>
            <w:shd w:val="clear" w:color="auto" w:fill="FFFFFF" w:themeFill="background1"/>
          </w:tcPr>
          <w:p w14:paraId="66BFED52" w14:textId="6C003F53" w:rsidR="00CC6FBB" w:rsidRPr="00CC6FBB" w:rsidRDefault="00CC6FBB" w:rsidP="00CC6FBB">
            <w:pPr>
              <w:rPr>
                <w:rFonts w:cs="HelveticaNeueLT Std"/>
                <w:b/>
                <w:bCs/>
                <w:sz w:val="18"/>
                <w:szCs w:val="18"/>
              </w:rPr>
            </w:pPr>
            <w:r w:rsidRPr="00CC6FBB">
              <w:rPr>
                <w:rFonts w:cs="HelveticaNeueLT Std"/>
                <w:b/>
                <w:bCs/>
                <w:sz w:val="18"/>
                <w:szCs w:val="18"/>
              </w:rPr>
              <w:t>Target achieved.</w:t>
            </w:r>
          </w:p>
          <w:p w14:paraId="68DCC73E" w14:textId="750F4B12" w:rsidR="00CC6FBB" w:rsidRPr="00CC6FBB" w:rsidRDefault="00CC6FBB" w:rsidP="00CC6FBB">
            <w:pPr>
              <w:rPr>
                <w:rFonts w:cs="HelveticaNeueLT Std"/>
                <w:sz w:val="18"/>
                <w:szCs w:val="18"/>
              </w:rPr>
            </w:pPr>
            <w:r w:rsidRPr="00CC6FBB">
              <w:rPr>
                <w:rFonts w:cs="HelveticaNeueLT Std"/>
                <w:sz w:val="18"/>
                <w:szCs w:val="18"/>
              </w:rPr>
              <w:t xml:space="preserve">This target was achieved. Monitoring undertaken in accordance with monitoring </w:t>
            </w:r>
            <w:proofErr w:type="spellStart"/>
            <w:r w:rsidRPr="00CC6FBB">
              <w:rPr>
                <w:rFonts w:cs="HelveticaNeueLT Std"/>
                <w:sz w:val="18"/>
                <w:szCs w:val="18"/>
              </w:rPr>
              <w:t>priorisation</w:t>
            </w:r>
            <w:proofErr w:type="spellEnd"/>
            <w:r w:rsidRPr="00CC6FBB">
              <w:rPr>
                <w:rFonts w:cs="HelveticaNeueLT Std"/>
                <w:sz w:val="18"/>
                <w:szCs w:val="18"/>
              </w:rPr>
              <w:t xml:space="preserve"> strategy.</w:t>
            </w:r>
          </w:p>
        </w:tc>
      </w:tr>
      <w:tr w:rsidR="00CC6FBB" w:rsidRPr="00E641B6" w14:paraId="294C7110" w14:textId="77777777" w:rsidTr="00B738E2">
        <w:trPr>
          <w:cantSplit/>
          <w:trHeight w:val="15"/>
        </w:trPr>
        <w:tc>
          <w:tcPr>
            <w:tcW w:w="1838" w:type="dxa"/>
            <w:shd w:val="clear" w:color="auto" w:fill="FFFFFF" w:themeFill="background1"/>
          </w:tcPr>
          <w:p w14:paraId="0C532B56" w14:textId="09CC187C" w:rsidR="00CC6FBB" w:rsidRPr="00CC6FBB" w:rsidRDefault="00CC6FBB" w:rsidP="00CC6FBB">
            <w:pPr>
              <w:rPr>
                <w:rFonts w:cs="HelveticaNeueLT Std"/>
                <w:sz w:val="18"/>
                <w:szCs w:val="18"/>
              </w:rPr>
            </w:pPr>
            <w:r w:rsidRPr="00CC6FBB">
              <w:rPr>
                <w:sz w:val="18"/>
                <w:szCs w:val="18"/>
              </w:rPr>
              <w:t>Every food business that is due an audit is audited within the statutory timeframes (according to the Food Act 2014).</w:t>
            </w:r>
          </w:p>
        </w:tc>
        <w:tc>
          <w:tcPr>
            <w:tcW w:w="1361" w:type="dxa"/>
            <w:shd w:val="clear" w:color="auto" w:fill="FFFFFF" w:themeFill="background1"/>
          </w:tcPr>
          <w:p w14:paraId="6DB22F1F" w14:textId="75D402EB" w:rsidR="00CC6FBB" w:rsidRPr="00CC6FBB" w:rsidRDefault="00CC6FBB" w:rsidP="00CC6FBB">
            <w:pPr>
              <w:rPr>
                <w:rFonts w:cs="HelveticaNeueLT Std"/>
                <w:sz w:val="18"/>
                <w:szCs w:val="18"/>
              </w:rPr>
            </w:pPr>
            <w:r w:rsidRPr="00CC6FBB">
              <w:rPr>
                <w:sz w:val="18"/>
                <w:szCs w:val="18"/>
              </w:rPr>
              <w:t>59%</w:t>
            </w:r>
          </w:p>
        </w:tc>
        <w:tc>
          <w:tcPr>
            <w:tcW w:w="1361" w:type="dxa"/>
            <w:shd w:val="clear" w:color="auto" w:fill="FFFFFF" w:themeFill="background1"/>
          </w:tcPr>
          <w:p w14:paraId="67C6B0E5" w14:textId="6180E236" w:rsidR="00CC6FBB" w:rsidRPr="00CC6FBB" w:rsidRDefault="00CC6FBB" w:rsidP="00CC6FBB">
            <w:pPr>
              <w:rPr>
                <w:rFonts w:cs="HelveticaNeueLT Std"/>
                <w:sz w:val="18"/>
                <w:szCs w:val="18"/>
              </w:rPr>
            </w:pPr>
            <w:r w:rsidRPr="00CC6FBB">
              <w:rPr>
                <w:sz w:val="18"/>
                <w:szCs w:val="18"/>
              </w:rPr>
              <w:t>100%</w:t>
            </w:r>
          </w:p>
        </w:tc>
        <w:tc>
          <w:tcPr>
            <w:tcW w:w="1361" w:type="dxa"/>
            <w:shd w:val="clear" w:color="auto" w:fill="FFFFFF" w:themeFill="background1"/>
          </w:tcPr>
          <w:p w14:paraId="4C7D2C1D" w14:textId="287320BD" w:rsidR="00CC6FBB" w:rsidRPr="00CC6FBB" w:rsidRDefault="00CC6FBB" w:rsidP="00CC6FBB">
            <w:pPr>
              <w:rPr>
                <w:rFonts w:cs="HelveticaNeueLT Std"/>
                <w:sz w:val="18"/>
                <w:szCs w:val="18"/>
              </w:rPr>
            </w:pPr>
            <w:r w:rsidRPr="00CC6FBB">
              <w:rPr>
                <w:sz w:val="18"/>
                <w:szCs w:val="18"/>
              </w:rPr>
              <w:t>30%</w:t>
            </w:r>
          </w:p>
        </w:tc>
        <w:tc>
          <w:tcPr>
            <w:tcW w:w="3651" w:type="dxa"/>
            <w:shd w:val="clear" w:color="auto" w:fill="FFFFFF" w:themeFill="background1"/>
          </w:tcPr>
          <w:p w14:paraId="608A3981" w14:textId="77777777" w:rsidR="00CC6FBB" w:rsidRPr="00CC6FBB" w:rsidRDefault="00CC6FBB" w:rsidP="00CC6FBB">
            <w:pPr>
              <w:rPr>
                <w:rFonts w:cs="HelveticaNeueLT Std"/>
                <w:b/>
                <w:bCs/>
                <w:sz w:val="18"/>
                <w:szCs w:val="18"/>
              </w:rPr>
            </w:pPr>
            <w:r w:rsidRPr="00CC6FBB">
              <w:rPr>
                <w:rFonts w:cs="HelveticaNeueLT Std"/>
                <w:b/>
                <w:bCs/>
                <w:sz w:val="18"/>
                <w:szCs w:val="18"/>
              </w:rPr>
              <w:t>Target not achieved.</w:t>
            </w:r>
          </w:p>
          <w:p w14:paraId="4D92EA3A" w14:textId="77777777" w:rsidR="00CC6FBB" w:rsidRPr="00CC6FBB" w:rsidRDefault="00CC6FBB" w:rsidP="00CC6FBB">
            <w:pPr>
              <w:rPr>
                <w:rFonts w:cs="HelveticaNeueLT Std"/>
                <w:sz w:val="18"/>
                <w:szCs w:val="18"/>
              </w:rPr>
            </w:pPr>
            <w:r w:rsidRPr="00CC6FBB">
              <w:rPr>
                <w:rFonts w:cs="HelveticaNeueLT Std"/>
                <w:sz w:val="18"/>
                <w:szCs w:val="18"/>
              </w:rPr>
              <w:t>Staff resourcing challenges, increasing workload due to new registrations and enforcement actions have all had a contributing impact.</w:t>
            </w:r>
          </w:p>
          <w:p w14:paraId="183091B5" w14:textId="33846F2D" w:rsidR="00CC6FBB" w:rsidRPr="00CC6FBB" w:rsidRDefault="00CC6FBB" w:rsidP="00CC6FBB">
            <w:pPr>
              <w:rPr>
                <w:rFonts w:cs="HelveticaNeueLT Std"/>
                <w:sz w:val="18"/>
                <w:szCs w:val="18"/>
              </w:rPr>
            </w:pPr>
            <w:r w:rsidRPr="00CC6FBB">
              <w:rPr>
                <w:rFonts w:cs="HelveticaNeueLT Std"/>
                <w:sz w:val="18"/>
                <w:szCs w:val="18"/>
              </w:rPr>
              <w:t xml:space="preserve">There are now 771 food operators in the district, 74 more than June 2024. </w:t>
            </w:r>
          </w:p>
          <w:p w14:paraId="1A52900B" w14:textId="7AA9D5AE" w:rsidR="00CC6FBB" w:rsidRPr="00CC6FBB" w:rsidRDefault="00CC6FBB" w:rsidP="00CC6FBB">
            <w:pPr>
              <w:rPr>
                <w:rFonts w:cs="HelveticaNeueLT Std"/>
                <w:sz w:val="18"/>
                <w:szCs w:val="18"/>
              </w:rPr>
            </w:pPr>
            <w:r w:rsidRPr="00CC6FBB">
              <w:rPr>
                <w:rFonts w:cs="HelveticaNeueLT Std"/>
                <w:sz w:val="18"/>
                <w:szCs w:val="18"/>
              </w:rPr>
              <w:t>The risks posed by the resource shortage have been managed, prioritising verifications in a risk-based approach.</w:t>
            </w:r>
          </w:p>
          <w:p w14:paraId="6C6CADD1" w14:textId="60776739" w:rsidR="00CC6FBB" w:rsidRPr="00CC6FBB" w:rsidRDefault="00CC6FBB" w:rsidP="00CC6FBB">
            <w:pPr>
              <w:rPr>
                <w:rFonts w:cs="HelveticaNeueLT Std"/>
                <w:sz w:val="18"/>
                <w:szCs w:val="18"/>
              </w:rPr>
            </w:pPr>
            <w:r w:rsidRPr="00CC6FBB">
              <w:rPr>
                <w:rFonts w:cs="HelveticaNeueLT Std"/>
                <w:sz w:val="18"/>
                <w:szCs w:val="18"/>
              </w:rPr>
              <w:t xml:space="preserve">Despite the resource challenge during this reporting period the Ministry for Primary Industries - New Zealand Food Safety Department undertook an audit of the Environmental Health Team regarding Food Act 2014 requirements which resulted in positive feedback about the high quality of verification activity, associated reporting and systems and processes. </w:t>
            </w:r>
          </w:p>
          <w:p w14:paraId="4AB1FD3A" w14:textId="5FBFEF04" w:rsidR="00CC6FBB" w:rsidRPr="00CC6FBB" w:rsidRDefault="00CC6FBB" w:rsidP="00CC6FBB">
            <w:pPr>
              <w:rPr>
                <w:rFonts w:cs="HelveticaNeueLT Std"/>
                <w:sz w:val="18"/>
                <w:szCs w:val="18"/>
              </w:rPr>
            </w:pPr>
            <w:r w:rsidRPr="00CC6FBB">
              <w:rPr>
                <w:rFonts w:cs="HelveticaNeueLT Std"/>
                <w:sz w:val="18"/>
                <w:szCs w:val="18"/>
              </w:rPr>
              <w:t>Positively, the team have recently recruited two Senior Staff, bringing the team to full capacity. This should result in improving results in this area moving forward.</w:t>
            </w:r>
          </w:p>
        </w:tc>
      </w:tr>
      <w:tr w:rsidR="00CC6FBB" w:rsidRPr="00E641B6" w14:paraId="7CC7C2CF" w14:textId="77777777" w:rsidTr="00B738E2">
        <w:trPr>
          <w:cantSplit/>
          <w:trHeight w:val="15"/>
        </w:trPr>
        <w:tc>
          <w:tcPr>
            <w:tcW w:w="1838" w:type="dxa"/>
            <w:shd w:val="clear" w:color="auto" w:fill="FFFFFF" w:themeFill="background1"/>
          </w:tcPr>
          <w:p w14:paraId="749A483A" w14:textId="63BBB472" w:rsidR="00CC6FBB" w:rsidRPr="00CC6FBB" w:rsidRDefault="00CC6FBB" w:rsidP="00CC6FBB">
            <w:pPr>
              <w:rPr>
                <w:rFonts w:cs="HelveticaNeueLT Std"/>
                <w:sz w:val="18"/>
                <w:szCs w:val="18"/>
              </w:rPr>
            </w:pPr>
            <w:r w:rsidRPr="00CC6FBB">
              <w:rPr>
                <w:sz w:val="18"/>
                <w:szCs w:val="18"/>
              </w:rPr>
              <w:t>Percentage of building consents processed within statutory timeframes.</w:t>
            </w:r>
          </w:p>
        </w:tc>
        <w:tc>
          <w:tcPr>
            <w:tcW w:w="1361" w:type="dxa"/>
            <w:shd w:val="clear" w:color="auto" w:fill="FFFFFF" w:themeFill="background1"/>
          </w:tcPr>
          <w:p w14:paraId="5DD1DBF8" w14:textId="330665B0" w:rsidR="00CC6FBB" w:rsidRPr="00CC6FBB" w:rsidRDefault="00CC6FBB" w:rsidP="00CC6FBB">
            <w:pPr>
              <w:rPr>
                <w:rFonts w:cs="HelveticaNeueLT Std"/>
                <w:sz w:val="18"/>
                <w:szCs w:val="18"/>
              </w:rPr>
            </w:pPr>
            <w:r w:rsidRPr="00CC6FBB">
              <w:rPr>
                <w:sz w:val="18"/>
                <w:szCs w:val="18"/>
              </w:rPr>
              <w:t>91.92%</w:t>
            </w:r>
          </w:p>
        </w:tc>
        <w:tc>
          <w:tcPr>
            <w:tcW w:w="1361" w:type="dxa"/>
            <w:shd w:val="clear" w:color="auto" w:fill="FFFFFF" w:themeFill="background1"/>
          </w:tcPr>
          <w:p w14:paraId="56F09F85" w14:textId="1777D679" w:rsidR="00CC6FBB" w:rsidRPr="00CC6FBB" w:rsidRDefault="00CC6FBB" w:rsidP="00CC6FBB">
            <w:pPr>
              <w:rPr>
                <w:rFonts w:cs="HelveticaNeueLT Std"/>
                <w:sz w:val="18"/>
                <w:szCs w:val="18"/>
              </w:rPr>
            </w:pPr>
            <w:r w:rsidRPr="00CC6FBB">
              <w:rPr>
                <w:sz w:val="18"/>
                <w:szCs w:val="18"/>
              </w:rPr>
              <w:t>100%</w:t>
            </w:r>
          </w:p>
        </w:tc>
        <w:tc>
          <w:tcPr>
            <w:tcW w:w="1361" w:type="dxa"/>
            <w:shd w:val="clear" w:color="auto" w:fill="FFFFFF" w:themeFill="background1"/>
          </w:tcPr>
          <w:p w14:paraId="682496C4" w14:textId="6B6BA903" w:rsidR="00CC6FBB" w:rsidRPr="00CC6FBB" w:rsidRDefault="00CC6FBB" w:rsidP="00CC6FBB">
            <w:pPr>
              <w:rPr>
                <w:rFonts w:cs="HelveticaNeueLT Std"/>
                <w:sz w:val="18"/>
                <w:szCs w:val="18"/>
              </w:rPr>
            </w:pPr>
            <w:r w:rsidRPr="00CC6FBB">
              <w:rPr>
                <w:sz w:val="18"/>
                <w:szCs w:val="18"/>
              </w:rPr>
              <w:t>96.45%</w:t>
            </w:r>
          </w:p>
        </w:tc>
        <w:tc>
          <w:tcPr>
            <w:tcW w:w="3651" w:type="dxa"/>
            <w:shd w:val="clear" w:color="auto" w:fill="FFFFFF" w:themeFill="background1"/>
          </w:tcPr>
          <w:p w14:paraId="1D0039CA" w14:textId="77777777" w:rsidR="00CC6FBB" w:rsidRPr="00CC6FBB" w:rsidRDefault="00CC6FBB" w:rsidP="00CC6FBB">
            <w:pPr>
              <w:rPr>
                <w:rFonts w:cs="HelveticaNeueLT Std"/>
                <w:b/>
                <w:bCs/>
                <w:sz w:val="18"/>
                <w:szCs w:val="18"/>
              </w:rPr>
            </w:pPr>
            <w:r w:rsidRPr="00CC6FBB">
              <w:rPr>
                <w:rFonts w:cs="HelveticaNeueLT Std"/>
                <w:b/>
                <w:bCs/>
                <w:sz w:val="18"/>
                <w:szCs w:val="18"/>
              </w:rPr>
              <w:t>Target not achieved.</w:t>
            </w:r>
          </w:p>
          <w:p w14:paraId="74BC7454" w14:textId="2CB5B235" w:rsidR="00CC6FBB" w:rsidRPr="00CC6FBB" w:rsidRDefault="00CC6FBB" w:rsidP="00CC6FBB">
            <w:pPr>
              <w:rPr>
                <w:rFonts w:cs="HelveticaNeueLT Std"/>
                <w:sz w:val="18"/>
                <w:szCs w:val="18"/>
                <w:lang w:val="en-GB"/>
              </w:rPr>
            </w:pPr>
            <w:r w:rsidRPr="00CC6FBB">
              <w:rPr>
                <w:rFonts w:cs="HelveticaNeueLT Std"/>
                <w:sz w:val="18"/>
                <w:szCs w:val="18"/>
                <w:lang w:val="en-GB"/>
              </w:rPr>
              <w:t>The target of 100% of building consents being processed within the 20-day statutory timeframe was not met by a small margin in 2025/26. The actual result was 96.18%. The reason for the target not being achieved was due to some months of very high consent numbers combined with periods of limited contractor availability and staff leave and illness.</w:t>
            </w:r>
          </w:p>
        </w:tc>
      </w:tr>
    </w:tbl>
    <w:p w14:paraId="78552D44" w14:textId="77777777" w:rsidR="00CC6FBB" w:rsidRPr="00E641B6" w:rsidRDefault="00CC6FBB">
      <w:pPr>
        <w:rPr>
          <w:sz w:val="24"/>
          <w:lang w:val="en-GB"/>
        </w:rPr>
      </w:pPr>
      <w:r w:rsidRPr="00E641B6">
        <w:rPr>
          <w:sz w:val="24"/>
          <w:lang w:val="en-GB"/>
        </w:rPr>
        <w:br w:type="page"/>
      </w:r>
    </w:p>
    <w:p w14:paraId="701FA132" w14:textId="0DE4D022" w:rsidR="00CC6FBB" w:rsidRDefault="00CC6FBB" w:rsidP="00CC6FBB">
      <w:pPr>
        <w:pStyle w:val="Heading2"/>
        <w:rPr>
          <w:lang w:val="en-GB"/>
        </w:rPr>
      </w:pPr>
      <w:bookmarkStart w:id="47" w:name="_Toc211422659"/>
      <w:r w:rsidRPr="00CC6FBB">
        <w:rPr>
          <w:lang w:val="en-GB"/>
        </w:rPr>
        <w:lastRenderedPageBreak/>
        <w:t xml:space="preserve">Local democracy </w:t>
      </w:r>
      <w:r>
        <w:rPr>
          <w:lang w:val="en-GB"/>
        </w:rPr>
        <w:t>|</w:t>
      </w:r>
      <w:r w:rsidRPr="00CC6FBB">
        <w:rPr>
          <w:lang w:val="en-GB"/>
        </w:rPr>
        <w:t xml:space="preserve"> </w:t>
      </w:r>
      <w:proofErr w:type="spellStart"/>
      <w:r w:rsidRPr="00CC6FBB">
        <w:rPr>
          <w:lang w:val="en-GB"/>
        </w:rPr>
        <w:t>Manapori</w:t>
      </w:r>
      <w:proofErr w:type="spellEnd"/>
      <w:r w:rsidRPr="00CC6FBB">
        <w:rPr>
          <w:lang w:val="en-GB"/>
        </w:rPr>
        <w:t xml:space="preserve"> ā-</w:t>
      </w:r>
      <w:proofErr w:type="spellStart"/>
      <w:r w:rsidRPr="00CC6FBB">
        <w:rPr>
          <w:lang w:val="en-GB"/>
        </w:rPr>
        <w:t>rohe</w:t>
      </w:r>
      <w:bookmarkEnd w:id="47"/>
      <w:proofErr w:type="spellEnd"/>
    </w:p>
    <w:p w14:paraId="0877E378" w14:textId="77777777" w:rsidR="00CC6FBB" w:rsidRPr="007B27E4" w:rsidRDefault="00CC6FBB" w:rsidP="00CC6FBB">
      <w:pPr>
        <w:pStyle w:val="Heading3"/>
      </w:pPr>
      <w:bookmarkStart w:id="48" w:name="_Toc211422660"/>
      <w:r w:rsidRPr="007B27E4">
        <w:t>How we performed</w:t>
      </w:r>
      <w:bookmarkEnd w:id="48"/>
    </w:p>
    <w:p w14:paraId="7A5E2012" w14:textId="77777777" w:rsidR="00CC6FBB" w:rsidRPr="00E641B6" w:rsidRDefault="00CC6FBB" w:rsidP="00CC6FBB">
      <w:pPr>
        <w:rPr>
          <w:sz w:val="24"/>
          <w:lang w:val="en-GB"/>
        </w:rPr>
      </w:pPr>
      <w:r w:rsidRPr="00E641B6">
        <w:rPr>
          <w:sz w:val="24"/>
          <w:lang w:val="en-GB"/>
        </w:rPr>
        <w:t>How QLDC performed against its Key Performance Indicators (KPIs).</w:t>
      </w:r>
    </w:p>
    <w:tbl>
      <w:tblPr>
        <w:tblStyle w:val="TableGrid"/>
        <w:tblW w:w="9572" w:type="dxa"/>
        <w:tblLayout w:type="fixed"/>
        <w:tblCellMar>
          <w:top w:w="115" w:type="dxa"/>
          <w:bottom w:w="115" w:type="dxa"/>
        </w:tblCellMar>
        <w:tblLook w:val="04A0" w:firstRow="1" w:lastRow="0" w:firstColumn="1" w:lastColumn="0" w:noHBand="0" w:noVBand="1"/>
      </w:tblPr>
      <w:tblGrid>
        <w:gridCol w:w="1838"/>
        <w:gridCol w:w="1361"/>
        <w:gridCol w:w="1361"/>
        <w:gridCol w:w="1361"/>
        <w:gridCol w:w="3651"/>
      </w:tblGrid>
      <w:tr w:rsidR="00CC6FBB" w:rsidRPr="00E641B6" w14:paraId="5415E241" w14:textId="77777777" w:rsidTr="00B738E2">
        <w:trPr>
          <w:cantSplit/>
        </w:trPr>
        <w:tc>
          <w:tcPr>
            <w:tcW w:w="1838" w:type="dxa"/>
            <w:shd w:val="clear" w:color="auto" w:fill="BFBFBF" w:themeFill="background1" w:themeFillShade="BF"/>
          </w:tcPr>
          <w:p w14:paraId="08015C90" w14:textId="77777777" w:rsidR="00CC6FBB" w:rsidRPr="00A0388A" w:rsidRDefault="00CC6FBB" w:rsidP="00B738E2">
            <w:pPr>
              <w:rPr>
                <w:b/>
                <w:bCs/>
                <w:sz w:val="18"/>
                <w:szCs w:val="18"/>
                <w:lang w:val="en-US"/>
              </w:rPr>
            </w:pPr>
            <w:r w:rsidRPr="00A0388A">
              <w:rPr>
                <w:sz w:val="18"/>
                <w:szCs w:val="18"/>
              </w:rPr>
              <w:t>KPIs</w:t>
            </w:r>
          </w:p>
        </w:tc>
        <w:tc>
          <w:tcPr>
            <w:tcW w:w="1361" w:type="dxa"/>
            <w:shd w:val="clear" w:color="auto" w:fill="BFBFBF" w:themeFill="background1" w:themeFillShade="BF"/>
          </w:tcPr>
          <w:p w14:paraId="3748A3E8" w14:textId="77777777" w:rsidR="00CC6FBB" w:rsidRPr="00A0388A" w:rsidRDefault="00CC6FBB" w:rsidP="00B738E2">
            <w:pPr>
              <w:rPr>
                <w:b/>
                <w:bCs/>
                <w:sz w:val="18"/>
                <w:szCs w:val="18"/>
                <w:lang w:val="en-US"/>
              </w:rPr>
            </w:pPr>
            <w:r w:rsidRPr="00A0388A">
              <w:rPr>
                <w:sz w:val="18"/>
                <w:szCs w:val="18"/>
              </w:rPr>
              <w:t xml:space="preserve">Baseline Performance </w:t>
            </w:r>
            <w:proofErr w:type="gramStart"/>
            <w:r w:rsidRPr="00A0388A">
              <w:rPr>
                <w:sz w:val="18"/>
                <w:szCs w:val="18"/>
              </w:rPr>
              <w:t>at</w:t>
            </w:r>
            <w:proofErr w:type="gramEnd"/>
            <w:r w:rsidRPr="00A0388A">
              <w:rPr>
                <w:sz w:val="18"/>
                <w:szCs w:val="18"/>
              </w:rPr>
              <w:t xml:space="preserve"> 30 June 2024</w:t>
            </w:r>
          </w:p>
        </w:tc>
        <w:tc>
          <w:tcPr>
            <w:tcW w:w="1361" w:type="dxa"/>
            <w:shd w:val="clear" w:color="auto" w:fill="BFBFBF" w:themeFill="background1" w:themeFillShade="BF"/>
          </w:tcPr>
          <w:p w14:paraId="78C4B978" w14:textId="77777777" w:rsidR="00CC6FBB" w:rsidRPr="00A0388A" w:rsidRDefault="00CC6FBB" w:rsidP="00B738E2">
            <w:pPr>
              <w:rPr>
                <w:b/>
                <w:bCs/>
                <w:sz w:val="18"/>
                <w:szCs w:val="18"/>
                <w:lang w:val="en-US"/>
              </w:rPr>
            </w:pPr>
            <w:r w:rsidRPr="00A0388A">
              <w:rPr>
                <w:sz w:val="18"/>
                <w:szCs w:val="18"/>
              </w:rPr>
              <w:t>Target for Year 1 of LTP 24-34</w:t>
            </w:r>
          </w:p>
        </w:tc>
        <w:tc>
          <w:tcPr>
            <w:tcW w:w="1361" w:type="dxa"/>
            <w:shd w:val="clear" w:color="auto" w:fill="BFBFBF" w:themeFill="background1" w:themeFillShade="BF"/>
          </w:tcPr>
          <w:p w14:paraId="2E0C27A8" w14:textId="77777777" w:rsidR="00CC6FBB" w:rsidRPr="00A0388A" w:rsidRDefault="00CC6FBB" w:rsidP="00B738E2">
            <w:pPr>
              <w:rPr>
                <w:b/>
                <w:bCs/>
                <w:sz w:val="18"/>
                <w:szCs w:val="18"/>
                <w:lang w:val="en-US"/>
              </w:rPr>
            </w:pPr>
            <w:r w:rsidRPr="00A0388A">
              <w:rPr>
                <w:sz w:val="18"/>
                <w:szCs w:val="18"/>
              </w:rPr>
              <w:t>Annual Result 2024-2025</w:t>
            </w:r>
          </w:p>
        </w:tc>
        <w:tc>
          <w:tcPr>
            <w:tcW w:w="3651" w:type="dxa"/>
            <w:shd w:val="clear" w:color="auto" w:fill="BFBFBF" w:themeFill="background1" w:themeFillShade="BF"/>
          </w:tcPr>
          <w:p w14:paraId="235A23A3" w14:textId="77777777" w:rsidR="00CC6FBB" w:rsidRPr="00A0388A" w:rsidRDefault="00CC6FBB" w:rsidP="00B738E2">
            <w:pPr>
              <w:rPr>
                <w:b/>
                <w:bCs/>
                <w:sz w:val="18"/>
                <w:szCs w:val="18"/>
                <w:lang w:val="en-US"/>
              </w:rPr>
            </w:pPr>
            <w:r w:rsidRPr="00A0388A">
              <w:rPr>
                <w:sz w:val="18"/>
                <w:szCs w:val="18"/>
              </w:rPr>
              <w:t>Commentary</w:t>
            </w:r>
          </w:p>
        </w:tc>
      </w:tr>
      <w:tr w:rsidR="00CC6FBB" w:rsidRPr="00E641B6" w14:paraId="066CBC16" w14:textId="77777777" w:rsidTr="00B738E2">
        <w:trPr>
          <w:cantSplit/>
          <w:trHeight w:val="15"/>
        </w:trPr>
        <w:tc>
          <w:tcPr>
            <w:tcW w:w="1838" w:type="dxa"/>
            <w:shd w:val="clear" w:color="auto" w:fill="FFFFFF" w:themeFill="background1"/>
          </w:tcPr>
          <w:p w14:paraId="6695C0BC" w14:textId="736BDBB3" w:rsidR="00CC6FBB" w:rsidRPr="00CC6FBB" w:rsidRDefault="00CC6FBB" w:rsidP="00CC6FBB">
            <w:pPr>
              <w:rPr>
                <w:rFonts w:cs="HelveticaNeueLT Std"/>
                <w:sz w:val="18"/>
                <w:szCs w:val="18"/>
              </w:rPr>
            </w:pPr>
            <w:r w:rsidRPr="00CC6FBB">
              <w:rPr>
                <w:sz w:val="18"/>
                <w:szCs w:val="18"/>
              </w:rPr>
              <w:t>Percentage of residents who are satisfied with the information they receive from Council.</w:t>
            </w:r>
          </w:p>
        </w:tc>
        <w:tc>
          <w:tcPr>
            <w:tcW w:w="1361" w:type="dxa"/>
            <w:shd w:val="clear" w:color="auto" w:fill="FFFFFF" w:themeFill="background1"/>
          </w:tcPr>
          <w:p w14:paraId="1A0FE66F" w14:textId="0BD866BB" w:rsidR="00CC6FBB" w:rsidRPr="00CC6FBB" w:rsidRDefault="00CC6FBB" w:rsidP="00CC6FBB">
            <w:pPr>
              <w:rPr>
                <w:rFonts w:cs="HelveticaNeueLT Std"/>
                <w:sz w:val="18"/>
                <w:szCs w:val="18"/>
              </w:rPr>
            </w:pPr>
            <w:r w:rsidRPr="00CC6FBB">
              <w:rPr>
                <w:sz w:val="18"/>
                <w:szCs w:val="18"/>
              </w:rPr>
              <w:t>39%</w:t>
            </w:r>
          </w:p>
        </w:tc>
        <w:tc>
          <w:tcPr>
            <w:tcW w:w="1361" w:type="dxa"/>
            <w:shd w:val="clear" w:color="auto" w:fill="FFFFFF" w:themeFill="background1"/>
          </w:tcPr>
          <w:p w14:paraId="6F07E6A5" w14:textId="07E9BB6D" w:rsidR="00CC6FBB" w:rsidRPr="00CC6FBB" w:rsidRDefault="00CC6FBB" w:rsidP="00CC6FBB">
            <w:pPr>
              <w:rPr>
                <w:rFonts w:cs="HelveticaNeueLT Std"/>
                <w:sz w:val="18"/>
                <w:szCs w:val="18"/>
              </w:rPr>
            </w:pPr>
            <w:r w:rsidRPr="00CC6FBB">
              <w:rPr>
                <w:sz w:val="18"/>
                <w:szCs w:val="18"/>
              </w:rPr>
              <w:t>60%</w:t>
            </w:r>
          </w:p>
        </w:tc>
        <w:tc>
          <w:tcPr>
            <w:tcW w:w="1361" w:type="dxa"/>
            <w:shd w:val="clear" w:color="auto" w:fill="FFFFFF" w:themeFill="background1"/>
          </w:tcPr>
          <w:p w14:paraId="1D283C3C" w14:textId="2CC7ED83" w:rsidR="00CC6FBB" w:rsidRPr="00CC6FBB" w:rsidRDefault="00CC6FBB" w:rsidP="00CC6FBB">
            <w:pPr>
              <w:rPr>
                <w:rFonts w:cs="HelveticaNeueLT Std"/>
                <w:sz w:val="18"/>
                <w:szCs w:val="18"/>
              </w:rPr>
            </w:pPr>
            <w:r w:rsidRPr="00CC6FBB">
              <w:rPr>
                <w:sz w:val="18"/>
                <w:szCs w:val="18"/>
              </w:rPr>
              <w:t>33%</w:t>
            </w:r>
          </w:p>
        </w:tc>
        <w:tc>
          <w:tcPr>
            <w:tcW w:w="3651" w:type="dxa"/>
            <w:shd w:val="clear" w:color="auto" w:fill="FFFFFF" w:themeFill="background1"/>
          </w:tcPr>
          <w:p w14:paraId="22DEC189" w14:textId="77777777" w:rsidR="00CC6FBB" w:rsidRPr="00CC6FBB" w:rsidRDefault="00CC6FBB" w:rsidP="00CC6FBB">
            <w:pPr>
              <w:rPr>
                <w:rFonts w:cs="HelveticaNeueLT Std"/>
                <w:b/>
                <w:bCs/>
                <w:sz w:val="18"/>
                <w:szCs w:val="18"/>
              </w:rPr>
            </w:pPr>
            <w:r w:rsidRPr="00CC6FBB">
              <w:rPr>
                <w:rFonts w:cs="HelveticaNeueLT Std"/>
                <w:b/>
                <w:bCs/>
                <w:sz w:val="18"/>
                <w:szCs w:val="18"/>
              </w:rPr>
              <w:t>Target not achieved.</w:t>
            </w:r>
          </w:p>
          <w:p w14:paraId="0697BE50" w14:textId="0CEF74D0" w:rsidR="00CC6FBB" w:rsidRPr="00CC6FBB" w:rsidRDefault="00CC6FBB" w:rsidP="00CC6FBB">
            <w:pPr>
              <w:rPr>
                <w:rFonts w:cs="HelveticaNeueLT Std"/>
                <w:sz w:val="18"/>
                <w:szCs w:val="18"/>
              </w:rPr>
            </w:pPr>
            <w:r w:rsidRPr="00CC6FBB">
              <w:rPr>
                <w:sz w:val="18"/>
                <w:szCs w:val="18"/>
              </w:rPr>
              <w:t>33% of residents stated they were satisfied with the information they received from Council, with 39% dissatisfied and 28% neutral. This result was a slight decrease on the previous year and below the target score.</w:t>
            </w:r>
          </w:p>
        </w:tc>
      </w:tr>
      <w:tr w:rsidR="00CC6FBB" w:rsidRPr="00E641B6" w14:paraId="47D0F70B" w14:textId="77777777" w:rsidTr="00B738E2">
        <w:trPr>
          <w:cantSplit/>
          <w:trHeight w:val="15"/>
        </w:trPr>
        <w:tc>
          <w:tcPr>
            <w:tcW w:w="1838" w:type="dxa"/>
            <w:shd w:val="clear" w:color="auto" w:fill="FFFFFF" w:themeFill="background1"/>
          </w:tcPr>
          <w:p w14:paraId="7CFE6494" w14:textId="59610835" w:rsidR="00CC6FBB" w:rsidRPr="00CC6FBB" w:rsidRDefault="00CC6FBB" w:rsidP="00CC6FBB">
            <w:pPr>
              <w:rPr>
                <w:rFonts w:cs="HelveticaNeueLT Std"/>
                <w:sz w:val="18"/>
                <w:szCs w:val="18"/>
              </w:rPr>
            </w:pPr>
            <w:r w:rsidRPr="00CC6FBB">
              <w:rPr>
                <w:sz w:val="18"/>
                <w:szCs w:val="18"/>
              </w:rPr>
              <w:t>Percentage of residents who are satisfied with the opportunities to have to their say.</w:t>
            </w:r>
          </w:p>
        </w:tc>
        <w:tc>
          <w:tcPr>
            <w:tcW w:w="1361" w:type="dxa"/>
            <w:shd w:val="clear" w:color="auto" w:fill="FFFFFF" w:themeFill="background1"/>
          </w:tcPr>
          <w:p w14:paraId="46657E99" w14:textId="7A84BF61" w:rsidR="00CC6FBB" w:rsidRPr="00CC6FBB" w:rsidRDefault="00CC6FBB" w:rsidP="00CC6FBB">
            <w:pPr>
              <w:rPr>
                <w:rFonts w:cs="HelveticaNeueLT Std"/>
                <w:sz w:val="18"/>
                <w:szCs w:val="18"/>
              </w:rPr>
            </w:pPr>
            <w:r w:rsidRPr="00CC6FBB">
              <w:rPr>
                <w:sz w:val="18"/>
                <w:szCs w:val="18"/>
              </w:rPr>
              <w:t>32%</w:t>
            </w:r>
          </w:p>
        </w:tc>
        <w:tc>
          <w:tcPr>
            <w:tcW w:w="1361" w:type="dxa"/>
            <w:shd w:val="clear" w:color="auto" w:fill="FFFFFF" w:themeFill="background1"/>
          </w:tcPr>
          <w:p w14:paraId="3EB67EBC" w14:textId="51AEDC2E" w:rsidR="00CC6FBB" w:rsidRPr="00CC6FBB" w:rsidRDefault="00CC6FBB" w:rsidP="00CC6FBB">
            <w:pPr>
              <w:rPr>
                <w:rFonts w:cs="HelveticaNeueLT Std"/>
                <w:sz w:val="18"/>
                <w:szCs w:val="18"/>
              </w:rPr>
            </w:pPr>
            <w:r w:rsidRPr="00CC6FBB">
              <w:rPr>
                <w:sz w:val="18"/>
                <w:szCs w:val="18"/>
              </w:rPr>
              <w:t>60%</w:t>
            </w:r>
          </w:p>
        </w:tc>
        <w:tc>
          <w:tcPr>
            <w:tcW w:w="1361" w:type="dxa"/>
            <w:shd w:val="clear" w:color="auto" w:fill="FFFFFF" w:themeFill="background1"/>
          </w:tcPr>
          <w:p w14:paraId="7A28D340" w14:textId="3C41B8F0" w:rsidR="00CC6FBB" w:rsidRPr="00CC6FBB" w:rsidRDefault="00CC6FBB" w:rsidP="00CC6FBB">
            <w:pPr>
              <w:rPr>
                <w:rFonts w:cs="HelveticaNeueLT Std"/>
                <w:sz w:val="18"/>
                <w:szCs w:val="18"/>
              </w:rPr>
            </w:pPr>
            <w:r w:rsidRPr="00CC6FBB">
              <w:rPr>
                <w:sz w:val="18"/>
                <w:szCs w:val="18"/>
              </w:rPr>
              <w:t>26%</w:t>
            </w:r>
          </w:p>
        </w:tc>
        <w:tc>
          <w:tcPr>
            <w:tcW w:w="3651" w:type="dxa"/>
            <w:shd w:val="clear" w:color="auto" w:fill="FFFFFF" w:themeFill="background1"/>
          </w:tcPr>
          <w:p w14:paraId="56B3783D" w14:textId="77777777" w:rsidR="00CC6FBB" w:rsidRPr="00CC6FBB" w:rsidRDefault="00CC6FBB" w:rsidP="00CC6FBB">
            <w:pPr>
              <w:rPr>
                <w:rFonts w:cs="HelveticaNeueLT Std"/>
                <w:b/>
                <w:bCs/>
                <w:sz w:val="18"/>
                <w:szCs w:val="18"/>
              </w:rPr>
            </w:pPr>
            <w:r w:rsidRPr="00CC6FBB">
              <w:rPr>
                <w:rFonts w:cs="HelveticaNeueLT Std"/>
                <w:b/>
                <w:bCs/>
                <w:sz w:val="18"/>
                <w:szCs w:val="18"/>
              </w:rPr>
              <w:t>Target not achieved.</w:t>
            </w:r>
          </w:p>
          <w:p w14:paraId="0B3D401B" w14:textId="40609C10" w:rsidR="00CC6FBB" w:rsidRPr="00CC6FBB" w:rsidRDefault="00CC6FBB" w:rsidP="00CC6FBB">
            <w:pPr>
              <w:rPr>
                <w:rFonts w:cs="HelveticaNeueLT Std"/>
                <w:sz w:val="18"/>
                <w:szCs w:val="18"/>
              </w:rPr>
            </w:pPr>
            <w:r w:rsidRPr="00CC6FBB">
              <w:rPr>
                <w:sz w:val="18"/>
                <w:szCs w:val="18"/>
              </w:rPr>
              <w:t>26% of residents were satisfied with the opportunities to be involved in the consultation and decision-making process, with 48% dissatisfied and 26% neutral. This was a decrease on last year's result and below the target amount.</w:t>
            </w:r>
          </w:p>
        </w:tc>
      </w:tr>
      <w:tr w:rsidR="00CC6FBB" w:rsidRPr="00E641B6" w14:paraId="7E4FE327" w14:textId="77777777" w:rsidTr="00B738E2">
        <w:trPr>
          <w:cantSplit/>
          <w:trHeight w:val="15"/>
        </w:trPr>
        <w:tc>
          <w:tcPr>
            <w:tcW w:w="1838" w:type="dxa"/>
            <w:shd w:val="clear" w:color="auto" w:fill="FFFFFF" w:themeFill="background1"/>
          </w:tcPr>
          <w:p w14:paraId="68AC9541" w14:textId="554FF996" w:rsidR="00CC6FBB" w:rsidRPr="00CC6FBB" w:rsidRDefault="00CC6FBB" w:rsidP="00CC6FBB">
            <w:pPr>
              <w:rPr>
                <w:rFonts w:cs="HelveticaNeueLT Std"/>
                <w:sz w:val="18"/>
                <w:szCs w:val="18"/>
              </w:rPr>
            </w:pPr>
            <w:r w:rsidRPr="00CC6FBB">
              <w:rPr>
                <w:sz w:val="18"/>
                <w:szCs w:val="18"/>
              </w:rPr>
              <w:t>Percentage of residents who interact with customer services were satisfied with their overall experience.</w:t>
            </w:r>
          </w:p>
        </w:tc>
        <w:tc>
          <w:tcPr>
            <w:tcW w:w="1361" w:type="dxa"/>
            <w:shd w:val="clear" w:color="auto" w:fill="FFFFFF" w:themeFill="background1"/>
          </w:tcPr>
          <w:p w14:paraId="3FE6C1BE" w14:textId="7826DF48" w:rsidR="00CC6FBB" w:rsidRPr="00CC6FBB" w:rsidRDefault="00CC6FBB" w:rsidP="00CC6FBB">
            <w:pPr>
              <w:rPr>
                <w:rFonts w:cs="HelveticaNeueLT Std"/>
                <w:sz w:val="18"/>
                <w:szCs w:val="18"/>
              </w:rPr>
            </w:pPr>
            <w:r w:rsidRPr="00CC6FBB">
              <w:rPr>
                <w:sz w:val="18"/>
                <w:szCs w:val="18"/>
              </w:rPr>
              <w:t>New Measure</w:t>
            </w:r>
          </w:p>
        </w:tc>
        <w:tc>
          <w:tcPr>
            <w:tcW w:w="1361" w:type="dxa"/>
            <w:shd w:val="clear" w:color="auto" w:fill="FFFFFF" w:themeFill="background1"/>
          </w:tcPr>
          <w:p w14:paraId="12A37BC7" w14:textId="0650CDAA" w:rsidR="00CC6FBB" w:rsidRPr="00CC6FBB" w:rsidRDefault="00CC6FBB" w:rsidP="00CC6FBB">
            <w:pPr>
              <w:rPr>
                <w:rFonts w:cs="HelveticaNeueLT Std"/>
                <w:sz w:val="18"/>
                <w:szCs w:val="18"/>
              </w:rPr>
            </w:pPr>
            <w:r w:rsidRPr="00CC6FBB">
              <w:rPr>
                <w:sz w:val="18"/>
                <w:szCs w:val="18"/>
              </w:rPr>
              <w:t>80%</w:t>
            </w:r>
          </w:p>
        </w:tc>
        <w:tc>
          <w:tcPr>
            <w:tcW w:w="1361" w:type="dxa"/>
            <w:shd w:val="clear" w:color="auto" w:fill="FFFFFF" w:themeFill="background1"/>
          </w:tcPr>
          <w:p w14:paraId="24D04E65" w14:textId="64EE93A6" w:rsidR="00CC6FBB" w:rsidRPr="00CC6FBB" w:rsidRDefault="00CC6FBB" w:rsidP="00CC6FBB">
            <w:pPr>
              <w:rPr>
                <w:rFonts w:cs="HelveticaNeueLT Std"/>
                <w:sz w:val="18"/>
                <w:szCs w:val="18"/>
              </w:rPr>
            </w:pPr>
            <w:r w:rsidRPr="00CC6FBB">
              <w:rPr>
                <w:sz w:val="18"/>
                <w:szCs w:val="18"/>
              </w:rPr>
              <w:t>85%</w:t>
            </w:r>
          </w:p>
        </w:tc>
        <w:tc>
          <w:tcPr>
            <w:tcW w:w="3651" w:type="dxa"/>
            <w:shd w:val="clear" w:color="auto" w:fill="FFFFFF" w:themeFill="background1"/>
          </w:tcPr>
          <w:p w14:paraId="3E18A356" w14:textId="523EF8A7" w:rsidR="00CC6FBB" w:rsidRPr="00CC6FBB" w:rsidRDefault="00CC6FBB" w:rsidP="00CC6FBB">
            <w:pPr>
              <w:rPr>
                <w:rFonts w:cs="HelveticaNeueLT Std"/>
                <w:b/>
                <w:bCs/>
                <w:sz w:val="18"/>
                <w:szCs w:val="18"/>
              </w:rPr>
            </w:pPr>
            <w:r w:rsidRPr="00CC6FBB">
              <w:rPr>
                <w:rFonts w:cs="HelveticaNeueLT Std"/>
                <w:b/>
                <w:bCs/>
                <w:sz w:val="18"/>
                <w:szCs w:val="18"/>
              </w:rPr>
              <w:t>Target achieved.</w:t>
            </w:r>
          </w:p>
          <w:p w14:paraId="665C4F02" w14:textId="2FA33D8B" w:rsidR="00CC6FBB" w:rsidRPr="00CC6FBB" w:rsidRDefault="00CC6FBB" w:rsidP="00CC6FBB">
            <w:pPr>
              <w:rPr>
                <w:rFonts w:cs="HelveticaNeueLT Std"/>
                <w:sz w:val="18"/>
                <w:szCs w:val="18"/>
              </w:rPr>
            </w:pPr>
            <w:r w:rsidRPr="00CC6FBB">
              <w:rPr>
                <w:sz w:val="18"/>
                <w:szCs w:val="18"/>
              </w:rPr>
              <w:t>The majority (85%) of customers were satisfied or very satisfied with their experience overall when interacting with QLDC. Future focus is on continuing to improve through the QLDC-wide customer experience programme.</w:t>
            </w:r>
          </w:p>
        </w:tc>
      </w:tr>
      <w:tr w:rsidR="00CC6FBB" w:rsidRPr="00E641B6" w14:paraId="6EF8FA05" w14:textId="77777777" w:rsidTr="00B738E2">
        <w:trPr>
          <w:cantSplit/>
          <w:trHeight w:val="15"/>
        </w:trPr>
        <w:tc>
          <w:tcPr>
            <w:tcW w:w="1838" w:type="dxa"/>
            <w:shd w:val="clear" w:color="auto" w:fill="FFFFFF" w:themeFill="background1"/>
          </w:tcPr>
          <w:p w14:paraId="0E5EB9CA" w14:textId="247CC91A" w:rsidR="00CC6FBB" w:rsidRPr="00CC6FBB" w:rsidRDefault="00CC6FBB" w:rsidP="00CC6FBB">
            <w:pPr>
              <w:rPr>
                <w:rFonts w:cs="HelveticaNeueLT Std"/>
                <w:sz w:val="18"/>
                <w:szCs w:val="18"/>
              </w:rPr>
            </w:pPr>
            <w:r w:rsidRPr="00CC6FBB">
              <w:rPr>
                <w:sz w:val="18"/>
                <w:szCs w:val="18"/>
              </w:rPr>
              <w:t>Percentage of Local Government Official Information and Meetings Act 1987 (LGOIMA) requests responded to within 20 days.</w:t>
            </w:r>
          </w:p>
        </w:tc>
        <w:tc>
          <w:tcPr>
            <w:tcW w:w="1361" w:type="dxa"/>
            <w:shd w:val="clear" w:color="auto" w:fill="FFFFFF" w:themeFill="background1"/>
          </w:tcPr>
          <w:p w14:paraId="630A2B29" w14:textId="623BA87C" w:rsidR="00CC6FBB" w:rsidRPr="00CC6FBB" w:rsidRDefault="00CC6FBB" w:rsidP="00CC6FBB">
            <w:pPr>
              <w:rPr>
                <w:rFonts w:cs="HelveticaNeueLT Std"/>
                <w:sz w:val="18"/>
                <w:szCs w:val="18"/>
              </w:rPr>
            </w:pPr>
            <w:r w:rsidRPr="00CC6FBB">
              <w:rPr>
                <w:sz w:val="18"/>
                <w:szCs w:val="18"/>
              </w:rPr>
              <w:t>96.83%</w:t>
            </w:r>
          </w:p>
        </w:tc>
        <w:tc>
          <w:tcPr>
            <w:tcW w:w="1361" w:type="dxa"/>
            <w:shd w:val="clear" w:color="auto" w:fill="FFFFFF" w:themeFill="background1"/>
          </w:tcPr>
          <w:p w14:paraId="1826A741" w14:textId="25BB862C" w:rsidR="00CC6FBB" w:rsidRPr="00CC6FBB" w:rsidRDefault="00CC6FBB" w:rsidP="00CC6FBB">
            <w:pPr>
              <w:rPr>
                <w:rFonts w:cs="HelveticaNeueLT Std"/>
                <w:sz w:val="18"/>
                <w:szCs w:val="18"/>
              </w:rPr>
            </w:pPr>
            <w:r w:rsidRPr="00CC6FBB">
              <w:rPr>
                <w:sz w:val="18"/>
                <w:szCs w:val="18"/>
              </w:rPr>
              <w:t>100%</w:t>
            </w:r>
          </w:p>
        </w:tc>
        <w:tc>
          <w:tcPr>
            <w:tcW w:w="1361" w:type="dxa"/>
            <w:shd w:val="clear" w:color="auto" w:fill="FFFFFF" w:themeFill="background1"/>
          </w:tcPr>
          <w:p w14:paraId="1DEB168C" w14:textId="261719C2" w:rsidR="00CC6FBB" w:rsidRPr="00CC6FBB" w:rsidRDefault="00CC6FBB" w:rsidP="00CC6FBB">
            <w:pPr>
              <w:rPr>
                <w:rFonts w:cs="HelveticaNeueLT Std"/>
                <w:sz w:val="18"/>
                <w:szCs w:val="18"/>
              </w:rPr>
            </w:pPr>
            <w:r w:rsidRPr="00CC6FBB">
              <w:rPr>
                <w:sz w:val="18"/>
                <w:szCs w:val="18"/>
              </w:rPr>
              <w:t>96.5%</w:t>
            </w:r>
          </w:p>
        </w:tc>
        <w:tc>
          <w:tcPr>
            <w:tcW w:w="3651" w:type="dxa"/>
            <w:shd w:val="clear" w:color="auto" w:fill="FFFFFF" w:themeFill="background1"/>
          </w:tcPr>
          <w:p w14:paraId="54D5F369" w14:textId="77777777" w:rsidR="00CC6FBB" w:rsidRPr="00CC6FBB" w:rsidRDefault="00CC6FBB" w:rsidP="00CC6FBB">
            <w:pPr>
              <w:rPr>
                <w:rFonts w:cs="HelveticaNeueLT Std"/>
                <w:b/>
                <w:bCs/>
                <w:sz w:val="18"/>
                <w:szCs w:val="18"/>
              </w:rPr>
            </w:pPr>
            <w:r w:rsidRPr="00CC6FBB">
              <w:rPr>
                <w:rFonts w:cs="HelveticaNeueLT Std"/>
                <w:b/>
                <w:bCs/>
                <w:sz w:val="18"/>
                <w:szCs w:val="18"/>
              </w:rPr>
              <w:t>Target not achieved.</w:t>
            </w:r>
          </w:p>
          <w:p w14:paraId="5ECCB999" w14:textId="5F43DDCC" w:rsidR="00CC6FBB" w:rsidRPr="00CC6FBB" w:rsidRDefault="00CC6FBB" w:rsidP="00CC6FBB">
            <w:pPr>
              <w:rPr>
                <w:rFonts w:cs="HelveticaNeueLT Std"/>
                <w:sz w:val="18"/>
                <w:szCs w:val="18"/>
              </w:rPr>
            </w:pPr>
            <w:r w:rsidRPr="00CC6FBB">
              <w:rPr>
                <w:sz w:val="18"/>
                <w:szCs w:val="18"/>
              </w:rPr>
              <w:t>Council had a high volume of requests to manage with great complexity and levels of consultation required which affected the ability to response to 100% on time. There is continued focus on improving efficiency. 284 requests were received, approximately 90 more compared to last year and the year before.</w:t>
            </w:r>
          </w:p>
        </w:tc>
      </w:tr>
      <w:tr w:rsidR="00D75692" w:rsidRPr="00E641B6" w14:paraId="61477BE5" w14:textId="77777777" w:rsidTr="00B738E2">
        <w:trPr>
          <w:cantSplit/>
          <w:trHeight w:val="15"/>
        </w:trPr>
        <w:tc>
          <w:tcPr>
            <w:tcW w:w="1838" w:type="dxa"/>
            <w:shd w:val="clear" w:color="auto" w:fill="FFFFFF" w:themeFill="background1"/>
          </w:tcPr>
          <w:p w14:paraId="76420A10" w14:textId="64AFFB43" w:rsidR="00D75692" w:rsidRPr="00D75692" w:rsidRDefault="00D75692" w:rsidP="00D75692">
            <w:pPr>
              <w:rPr>
                <w:sz w:val="18"/>
                <w:szCs w:val="18"/>
              </w:rPr>
            </w:pPr>
            <w:r w:rsidRPr="00D75692">
              <w:rPr>
                <w:sz w:val="18"/>
                <w:szCs w:val="18"/>
              </w:rPr>
              <w:t>Mana Whenua feel engaged with QLDC as per the agreed work programme (</w:t>
            </w:r>
            <w:proofErr w:type="spellStart"/>
            <w:r w:rsidRPr="00D75692">
              <w:rPr>
                <w:sz w:val="18"/>
                <w:szCs w:val="18"/>
              </w:rPr>
              <w:t>Aukaha</w:t>
            </w:r>
            <w:proofErr w:type="spellEnd"/>
            <w:r w:rsidRPr="00D75692">
              <w:rPr>
                <w:sz w:val="18"/>
                <w:szCs w:val="18"/>
              </w:rPr>
              <w:t xml:space="preserve"> and </w:t>
            </w:r>
            <w:proofErr w:type="spellStart"/>
            <w:r w:rsidRPr="00D75692">
              <w:rPr>
                <w:sz w:val="18"/>
                <w:szCs w:val="18"/>
              </w:rPr>
              <w:t>Te</w:t>
            </w:r>
            <w:proofErr w:type="spellEnd"/>
            <w:r w:rsidRPr="00D75692">
              <w:rPr>
                <w:sz w:val="18"/>
                <w:szCs w:val="18"/>
              </w:rPr>
              <w:t xml:space="preserve"> Ao </w:t>
            </w:r>
            <w:proofErr w:type="spellStart"/>
            <w:r w:rsidRPr="00D75692">
              <w:rPr>
                <w:sz w:val="18"/>
                <w:szCs w:val="18"/>
              </w:rPr>
              <w:t>Marama</w:t>
            </w:r>
            <w:proofErr w:type="spellEnd"/>
            <w:r w:rsidRPr="00D75692">
              <w:rPr>
                <w:sz w:val="18"/>
                <w:szCs w:val="18"/>
              </w:rPr>
              <w:t xml:space="preserve"> representatives).</w:t>
            </w:r>
          </w:p>
        </w:tc>
        <w:tc>
          <w:tcPr>
            <w:tcW w:w="1361" w:type="dxa"/>
            <w:shd w:val="clear" w:color="auto" w:fill="FFFFFF" w:themeFill="background1"/>
          </w:tcPr>
          <w:p w14:paraId="5E88F26F" w14:textId="4E4732F3" w:rsidR="00D75692" w:rsidRPr="00D75692" w:rsidRDefault="00D75692" w:rsidP="00D75692">
            <w:pPr>
              <w:rPr>
                <w:sz w:val="18"/>
                <w:szCs w:val="18"/>
              </w:rPr>
            </w:pPr>
            <w:r w:rsidRPr="00D75692">
              <w:rPr>
                <w:sz w:val="18"/>
                <w:szCs w:val="18"/>
              </w:rPr>
              <w:t>Not applicable</w:t>
            </w:r>
          </w:p>
        </w:tc>
        <w:tc>
          <w:tcPr>
            <w:tcW w:w="1361" w:type="dxa"/>
            <w:shd w:val="clear" w:color="auto" w:fill="FFFFFF" w:themeFill="background1"/>
          </w:tcPr>
          <w:p w14:paraId="46C97872" w14:textId="1C7A668D" w:rsidR="00D75692" w:rsidRPr="00D75692" w:rsidRDefault="00D75692" w:rsidP="00D75692">
            <w:pPr>
              <w:rPr>
                <w:sz w:val="18"/>
                <w:szCs w:val="18"/>
              </w:rPr>
            </w:pPr>
            <w:r w:rsidRPr="00D75692">
              <w:rPr>
                <w:sz w:val="18"/>
                <w:szCs w:val="18"/>
              </w:rPr>
              <w:t>Achieved</w:t>
            </w:r>
          </w:p>
        </w:tc>
        <w:tc>
          <w:tcPr>
            <w:tcW w:w="1361" w:type="dxa"/>
            <w:shd w:val="clear" w:color="auto" w:fill="FFFFFF" w:themeFill="background1"/>
          </w:tcPr>
          <w:p w14:paraId="3A1E8B60" w14:textId="1EBCF3A2" w:rsidR="00D75692" w:rsidRPr="00D75692" w:rsidRDefault="00D75692" w:rsidP="00D75692">
            <w:pPr>
              <w:rPr>
                <w:sz w:val="18"/>
                <w:szCs w:val="18"/>
              </w:rPr>
            </w:pPr>
            <w:r w:rsidRPr="00D75692">
              <w:rPr>
                <w:sz w:val="18"/>
                <w:szCs w:val="18"/>
              </w:rPr>
              <w:t xml:space="preserve">Achieved </w:t>
            </w:r>
          </w:p>
        </w:tc>
        <w:tc>
          <w:tcPr>
            <w:tcW w:w="3651" w:type="dxa"/>
            <w:shd w:val="clear" w:color="auto" w:fill="FFFFFF" w:themeFill="background1"/>
          </w:tcPr>
          <w:p w14:paraId="425B98F9" w14:textId="77777777" w:rsidR="00D75692" w:rsidRPr="00CC6FBB" w:rsidRDefault="00D75692" w:rsidP="00D75692">
            <w:pPr>
              <w:rPr>
                <w:rFonts w:cs="HelveticaNeueLT Std"/>
                <w:b/>
                <w:bCs/>
                <w:sz w:val="18"/>
                <w:szCs w:val="18"/>
              </w:rPr>
            </w:pPr>
            <w:r w:rsidRPr="00CC6FBB">
              <w:rPr>
                <w:rFonts w:cs="HelveticaNeueLT Std"/>
                <w:b/>
                <w:bCs/>
                <w:sz w:val="18"/>
                <w:szCs w:val="18"/>
              </w:rPr>
              <w:t>Target achieved.</w:t>
            </w:r>
          </w:p>
          <w:p w14:paraId="40D5B32C" w14:textId="51DB6179" w:rsidR="00D75692" w:rsidRPr="00D75692" w:rsidRDefault="00D75692" w:rsidP="00D75692">
            <w:pPr>
              <w:rPr>
                <w:rFonts w:cs="HelveticaNeueLT Std"/>
                <w:b/>
                <w:bCs/>
                <w:sz w:val="18"/>
                <w:szCs w:val="18"/>
              </w:rPr>
            </w:pPr>
            <w:proofErr w:type="spellStart"/>
            <w:r w:rsidRPr="00D75692">
              <w:rPr>
                <w:sz w:val="18"/>
                <w:szCs w:val="18"/>
              </w:rPr>
              <w:t>Aukaha</w:t>
            </w:r>
            <w:proofErr w:type="spellEnd"/>
            <w:r w:rsidRPr="00D75692">
              <w:rPr>
                <w:sz w:val="18"/>
                <w:szCs w:val="18"/>
              </w:rPr>
              <w:t xml:space="preserve"> and </w:t>
            </w:r>
            <w:proofErr w:type="spellStart"/>
            <w:r w:rsidRPr="00D75692">
              <w:rPr>
                <w:sz w:val="18"/>
                <w:szCs w:val="18"/>
              </w:rPr>
              <w:t>Te</w:t>
            </w:r>
            <w:proofErr w:type="spellEnd"/>
            <w:r w:rsidRPr="00D75692">
              <w:rPr>
                <w:sz w:val="18"/>
                <w:szCs w:val="18"/>
              </w:rPr>
              <w:t xml:space="preserve"> Ao </w:t>
            </w:r>
            <w:proofErr w:type="spellStart"/>
            <w:r w:rsidRPr="00D75692">
              <w:rPr>
                <w:sz w:val="18"/>
                <w:szCs w:val="18"/>
              </w:rPr>
              <w:t>Marama</w:t>
            </w:r>
            <w:proofErr w:type="spellEnd"/>
            <w:r w:rsidRPr="00D75692">
              <w:rPr>
                <w:sz w:val="18"/>
                <w:szCs w:val="18"/>
              </w:rPr>
              <w:t xml:space="preserve"> both have continued to express that this partnership approach is working well. Whilst they sometimes disagree with our </w:t>
            </w:r>
            <w:proofErr w:type="gramStart"/>
            <w:r w:rsidRPr="00D75692">
              <w:rPr>
                <w:sz w:val="18"/>
                <w:szCs w:val="18"/>
              </w:rPr>
              <w:t>position</w:t>
            </w:r>
            <w:proofErr w:type="gramEnd"/>
            <w:r w:rsidRPr="00D75692">
              <w:rPr>
                <w:sz w:val="18"/>
                <w:szCs w:val="18"/>
              </w:rPr>
              <w:t xml:space="preserve"> they feel well informed.</w:t>
            </w:r>
          </w:p>
        </w:tc>
      </w:tr>
      <w:tr w:rsidR="00D75692" w:rsidRPr="00E641B6" w14:paraId="596C08DB" w14:textId="77777777" w:rsidTr="00B738E2">
        <w:trPr>
          <w:cantSplit/>
          <w:trHeight w:val="15"/>
        </w:trPr>
        <w:tc>
          <w:tcPr>
            <w:tcW w:w="1838" w:type="dxa"/>
            <w:shd w:val="clear" w:color="auto" w:fill="FFFFFF" w:themeFill="background1"/>
          </w:tcPr>
          <w:p w14:paraId="5DEB0B2F" w14:textId="68372DB4" w:rsidR="00D75692" w:rsidRPr="00D75692" w:rsidRDefault="00D75692" w:rsidP="00D75692">
            <w:pPr>
              <w:rPr>
                <w:sz w:val="18"/>
                <w:szCs w:val="18"/>
              </w:rPr>
            </w:pPr>
            <w:r w:rsidRPr="00D75692">
              <w:rPr>
                <w:sz w:val="18"/>
                <w:szCs w:val="18"/>
              </w:rPr>
              <w:lastRenderedPageBreak/>
              <w:t>Percentage of QLDC staff (that are part of the emergency response structure) who have participated in a response or training throughout the year.</w:t>
            </w:r>
          </w:p>
        </w:tc>
        <w:tc>
          <w:tcPr>
            <w:tcW w:w="1361" w:type="dxa"/>
            <w:shd w:val="clear" w:color="auto" w:fill="FFFFFF" w:themeFill="background1"/>
          </w:tcPr>
          <w:p w14:paraId="1D18E590" w14:textId="27E14EEC" w:rsidR="00D75692" w:rsidRPr="00D75692" w:rsidRDefault="00D75692" w:rsidP="00D75692">
            <w:pPr>
              <w:rPr>
                <w:sz w:val="18"/>
                <w:szCs w:val="18"/>
              </w:rPr>
            </w:pPr>
            <w:r w:rsidRPr="00D75692">
              <w:rPr>
                <w:sz w:val="18"/>
                <w:szCs w:val="18"/>
              </w:rPr>
              <w:t>99%</w:t>
            </w:r>
          </w:p>
        </w:tc>
        <w:tc>
          <w:tcPr>
            <w:tcW w:w="1361" w:type="dxa"/>
            <w:shd w:val="clear" w:color="auto" w:fill="FFFFFF" w:themeFill="background1"/>
          </w:tcPr>
          <w:p w14:paraId="5F2B96D5" w14:textId="099D893B" w:rsidR="00D75692" w:rsidRPr="00D75692" w:rsidRDefault="00D75692" w:rsidP="00D75692">
            <w:pPr>
              <w:rPr>
                <w:sz w:val="18"/>
                <w:szCs w:val="18"/>
              </w:rPr>
            </w:pPr>
            <w:r w:rsidRPr="00D75692">
              <w:rPr>
                <w:sz w:val="18"/>
                <w:szCs w:val="18"/>
              </w:rPr>
              <w:t>100%</w:t>
            </w:r>
          </w:p>
        </w:tc>
        <w:tc>
          <w:tcPr>
            <w:tcW w:w="1361" w:type="dxa"/>
            <w:shd w:val="clear" w:color="auto" w:fill="FFFFFF" w:themeFill="background1"/>
          </w:tcPr>
          <w:p w14:paraId="26465B32" w14:textId="7BA65992" w:rsidR="00D75692" w:rsidRPr="00D75692" w:rsidRDefault="00D75692" w:rsidP="00D75692">
            <w:pPr>
              <w:rPr>
                <w:sz w:val="18"/>
                <w:szCs w:val="18"/>
              </w:rPr>
            </w:pPr>
            <w:r w:rsidRPr="00D75692">
              <w:rPr>
                <w:sz w:val="18"/>
                <w:szCs w:val="18"/>
              </w:rPr>
              <w:t>100%</w:t>
            </w:r>
          </w:p>
        </w:tc>
        <w:tc>
          <w:tcPr>
            <w:tcW w:w="3651" w:type="dxa"/>
            <w:shd w:val="clear" w:color="auto" w:fill="FFFFFF" w:themeFill="background1"/>
          </w:tcPr>
          <w:p w14:paraId="4F085149" w14:textId="77777777" w:rsidR="00D75692" w:rsidRPr="00CC6FBB" w:rsidRDefault="00D75692" w:rsidP="00D75692">
            <w:pPr>
              <w:rPr>
                <w:rFonts w:cs="HelveticaNeueLT Std"/>
                <w:b/>
                <w:bCs/>
                <w:sz w:val="18"/>
                <w:szCs w:val="18"/>
              </w:rPr>
            </w:pPr>
            <w:r w:rsidRPr="00CC6FBB">
              <w:rPr>
                <w:rFonts w:cs="HelveticaNeueLT Std"/>
                <w:b/>
                <w:bCs/>
                <w:sz w:val="18"/>
                <w:szCs w:val="18"/>
              </w:rPr>
              <w:t>Target achieved.</w:t>
            </w:r>
          </w:p>
          <w:p w14:paraId="742563A1" w14:textId="37C73EA2" w:rsidR="00D75692" w:rsidRPr="00D75692" w:rsidRDefault="00D75692" w:rsidP="00D75692">
            <w:pPr>
              <w:rPr>
                <w:rFonts w:cs="HelveticaNeueLT Std"/>
                <w:b/>
                <w:bCs/>
                <w:sz w:val="18"/>
                <w:szCs w:val="18"/>
              </w:rPr>
            </w:pPr>
            <w:r w:rsidRPr="00D75692">
              <w:rPr>
                <w:sz w:val="18"/>
                <w:szCs w:val="18"/>
              </w:rPr>
              <w:t xml:space="preserve">Council had increased its EOC staffing levels from 74 to 137 in the 2024-2025 year. 100% of staff have attended either the annual EOC exercise and/or CDEM introduction and functional training courses throughout the year. </w:t>
            </w:r>
          </w:p>
        </w:tc>
      </w:tr>
      <w:tr w:rsidR="00D75692" w:rsidRPr="00E641B6" w14:paraId="034B26FF" w14:textId="77777777" w:rsidTr="00B738E2">
        <w:trPr>
          <w:cantSplit/>
          <w:trHeight w:val="15"/>
        </w:trPr>
        <w:tc>
          <w:tcPr>
            <w:tcW w:w="1838" w:type="dxa"/>
            <w:shd w:val="clear" w:color="auto" w:fill="FFFFFF" w:themeFill="background1"/>
          </w:tcPr>
          <w:p w14:paraId="2BEFCCDB" w14:textId="71BAABC8" w:rsidR="00D75692" w:rsidRPr="00D75692" w:rsidRDefault="00D75692" w:rsidP="00D75692">
            <w:pPr>
              <w:rPr>
                <w:sz w:val="18"/>
                <w:szCs w:val="18"/>
              </w:rPr>
            </w:pPr>
            <w:r w:rsidRPr="00D75692">
              <w:rPr>
                <w:sz w:val="18"/>
                <w:szCs w:val="18"/>
              </w:rPr>
              <w:t>Percentage of residents who consider themselves resilient and prepared in the event of an emergency.</w:t>
            </w:r>
          </w:p>
        </w:tc>
        <w:tc>
          <w:tcPr>
            <w:tcW w:w="1361" w:type="dxa"/>
            <w:shd w:val="clear" w:color="auto" w:fill="FFFFFF" w:themeFill="background1"/>
          </w:tcPr>
          <w:p w14:paraId="2992BF4F" w14:textId="215D1D2E" w:rsidR="00D75692" w:rsidRPr="00D75692" w:rsidRDefault="00D75692" w:rsidP="00D75692">
            <w:pPr>
              <w:rPr>
                <w:sz w:val="18"/>
                <w:szCs w:val="18"/>
              </w:rPr>
            </w:pPr>
            <w:r w:rsidRPr="00D75692">
              <w:rPr>
                <w:sz w:val="18"/>
                <w:szCs w:val="18"/>
              </w:rPr>
              <w:t>51%</w:t>
            </w:r>
          </w:p>
        </w:tc>
        <w:tc>
          <w:tcPr>
            <w:tcW w:w="1361" w:type="dxa"/>
            <w:shd w:val="clear" w:color="auto" w:fill="FFFFFF" w:themeFill="background1"/>
          </w:tcPr>
          <w:p w14:paraId="7DC1F3B1" w14:textId="0C353B91" w:rsidR="00D75692" w:rsidRPr="00D75692" w:rsidRDefault="00D75692" w:rsidP="00D75692">
            <w:pPr>
              <w:rPr>
                <w:sz w:val="18"/>
                <w:szCs w:val="18"/>
              </w:rPr>
            </w:pPr>
            <w:r w:rsidRPr="00D75692">
              <w:rPr>
                <w:sz w:val="18"/>
                <w:szCs w:val="18"/>
              </w:rPr>
              <w:t>60%</w:t>
            </w:r>
          </w:p>
        </w:tc>
        <w:tc>
          <w:tcPr>
            <w:tcW w:w="1361" w:type="dxa"/>
            <w:shd w:val="clear" w:color="auto" w:fill="FFFFFF" w:themeFill="background1"/>
          </w:tcPr>
          <w:p w14:paraId="14AEBDC5" w14:textId="713AD295" w:rsidR="00D75692" w:rsidRPr="00D75692" w:rsidRDefault="00D75692" w:rsidP="00D75692">
            <w:pPr>
              <w:rPr>
                <w:sz w:val="18"/>
                <w:szCs w:val="18"/>
              </w:rPr>
            </w:pPr>
            <w:r w:rsidRPr="00D75692">
              <w:rPr>
                <w:sz w:val="18"/>
                <w:szCs w:val="18"/>
              </w:rPr>
              <w:t>48%</w:t>
            </w:r>
          </w:p>
        </w:tc>
        <w:tc>
          <w:tcPr>
            <w:tcW w:w="3651" w:type="dxa"/>
            <w:shd w:val="clear" w:color="auto" w:fill="FFFFFF" w:themeFill="background1"/>
          </w:tcPr>
          <w:p w14:paraId="0D234CA4" w14:textId="1949719B" w:rsidR="00D75692" w:rsidRPr="00CC6FBB" w:rsidRDefault="00D75692" w:rsidP="00D75692">
            <w:pPr>
              <w:rPr>
                <w:rFonts w:cs="HelveticaNeueLT Std"/>
                <w:b/>
                <w:bCs/>
                <w:sz w:val="18"/>
                <w:szCs w:val="18"/>
              </w:rPr>
            </w:pPr>
            <w:r w:rsidRPr="00CC6FBB">
              <w:rPr>
                <w:rFonts w:cs="HelveticaNeueLT Std"/>
                <w:b/>
                <w:bCs/>
                <w:sz w:val="18"/>
                <w:szCs w:val="18"/>
              </w:rPr>
              <w:t xml:space="preserve">Target </w:t>
            </w:r>
            <w:r>
              <w:rPr>
                <w:rFonts w:cs="HelveticaNeueLT Std"/>
                <w:b/>
                <w:bCs/>
                <w:sz w:val="18"/>
                <w:szCs w:val="18"/>
              </w:rPr>
              <w:t xml:space="preserve">not </w:t>
            </w:r>
            <w:r w:rsidRPr="00CC6FBB">
              <w:rPr>
                <w:rFonts w:cs="HelveticaNeueLT Std"/>
                <w:b/>
                <w:bCs/>
                <w:sz w:val="18"/>
                <w:szCs w:val="18"/>
              </w:rPr>
              <w:t>achieved.</w:t>
            </w:r>
          </w:p>
          <w:p w14:paraId="0EB2FAC6" w14:textId="7B4CF21C" w:rsidR="00D75692" w:rsidRPr="00D75692" w:rsidRDefault="00D75692" w:rsidP="00D75692">
            <w:pPr>
              <w:rPr>
                <w:rFonts w:cs="HelveticaNeueLT Std"/>
                <w:b/>
                <w:bCs/>
                <w:sz w:val="18"/>
                <w:szCs w:val="18"/>
              </w:rPr>
            </w:pPr>
            <w:r w:rsidRPr="00D75692">
              <w:rPr>
                <w:sz w:val="18"/>
                <w:szCs w:val="18"/>
              </w:rPr>
              <w:t xml:space="preserve">48% of residents stated they were resilient and prepared for an emergency event, with 28% stating they weren't, and 24% unsure. This level of </w:t>
            </w:r>
            <w:proofErr w:type="spellStart"/>
            <w:r w:rsidRPr="00D75692">
              <w:rPr>
                <w:sz w:val="18"/>
                <w:szCs w:val="18"/>
              </w:rPr>
              <w:t>self assessment</w:t>
            </w:r>
            <w:proofErr w:type="spellEnd"/>
            <w:r w:rsidRPr="00D75692">
              <w:rPr>
                <w:sz w:val="18"/>
                <w:szCs w:val="18"/>
              </w:rPr>
              <w:t xml:space="preserve"> is strong compared to international and national benchmarks</w:t>
            </w:r>
            <w:r>
              <w:rPr>
                <w:rStyle w:val="FootnoteReference"/>
                <w:sz w:val="18"/>
                <w:szCs w:val="18"/>
              </w:rPr>
              <w:footnoteReference w:id="58"/>
            </w:r>
            <w:r w:rsidRPr="00D75692">
              <w:rPr>
                <w:sz w:val="18"/>
                <w:szCs w:val="18"/>
              </w:rPr>
              <w:t xml:space="preserve"> but remains below our target of 60%.</w:t>
            </w:r>
          </w:p>
        </w:tc>
      </w:tr>
    </w:tbl>
    <w:p w14:paraId="1C56440A" w14:textId="77777777" w:rsidR="00D75692" w:rsidRPr="00E641B6" w:rsidRDefault="00D75692">
      <w:pPr>
        <w:rPr>
          <w:sz w:val="24"/>
          <w:lang w:val="en-GB"/>
        </w:rPr>
      </w:pPr>
      <w:r w:rsidRPr="00E641B6">
        <w:rPr>
          <w:sz w:val="24"/>
          <w:lang w:val="en-GB"/>
        </w:rPr>
        <w:br w:type="page"/>
      </w:r>
    </w:p>
    <w:p w14:paraId="5869B1F9" w14:textId="2175D739" w:rsidR="00D75692" w:rsidRDefault="00D75692" w:rsidP="00D75692">
      <w:pPr>
        <w:pStyle w:val="Heading2"/>
        <w:rPr>
          <w:lang w:val="en-GB"/>
        </w:rPr>
      </w:pPr>
      <w:bookmarkStart w:id="49" w:name="_Toc211422661"/>
      <w:r w:rsidRPr="00D75692">
        <w:rPr>
          <w:lang w:val="en-GB"/>
        </w:rPr>
        <w:lastRenderedPageBreak/>
        <w:t xml:space="preserve">Finance and support services </w:t>
      </w:r>
      <w:r>
        <w:rPr>
          <w:lang w:val="en-GB"/>
        </w:rPr>
        <w:t>|</w:t>
      </w:r>
      <w:r w:rsidRPr="00D75692">
        <w:rPr>
          <w:lang w:val="en-GB"/>
        </w:rPr>
        <w:t xml:space="preserve"> </w:t>
      </w:r>
      <w:proofErr w:type="spellStart"/>
      <w:r w:rsidRPr="00D75692">
        <w:rPr>
          <w:lang w:val="en-GB"/>
        </w:rPr>
        <w:t>Rātoka</w:t>
      </w:r>
      <w:proofErr w:type="spellEnd"/>
      <w:r w:rsidRPr="00D75692">
        <w:rPr>
          <w:lang w:val="en-GB"/>
        </w:rPr>
        <w:t xml:space="preserve"> </w:t>
      </w:r>
      <w:proofErr w:type="spellStart"/>
      <w:r w:rsidRPr="00D75692">
        <w:rPr>
          <w:lang w:val="en-GB"/>
        </w:rPr>
        <w:t>ahumoni</w:t>
      </w:r>
      <w:bookmarkEnd w:id="49"/>
      <w:proofErr w:type="spellEnd"/>
    </w:p>
    <w:p w14:paraId="69DD9364" w14:textId="77777777" w:rsidR="00D75692" w:rsidRPr="007B27E4" w:rsidRDefault="00D75692" w:rsidP="00D75692">
      <w:pPr>
        <w:pStyle w:val="Heading3"/>
      </w:pPr>
      <w:bookmarkStart w:id="50" w:name="_Toc211422662"/>
      <w:r w:rsidRPr="007B27E4">
        <w:t>How we performed</w:t>
      </w:r>
      <w:bookmarkEnd w:id="50"/>
    </w:p>
    <w:p w14:paraId="746C5FC8" w14:textId="77777777" w:rsidR="00D75692" w:rsidRPr="00E641B6" w:rsidRDefault="00D75692" w:rsidP="00D75692">
      <w:pPr>
        <w:rPr>
          <w:sz w:val="24"/>
          <w:lang w:val="en-GB"/>
        </w:rPr>
      </w:pPr>
      <w:r w:rsidRPr="00E641B6">
        <w:rPr>
          <w:sz w:val="24"/>
          <w:lang w:val="en-GB"/>
        </w:rPr>
        <w:t>How QLDC performed against its Key Performance Indicators (KPIs).</w:t>
      </w:r>
    </w:p>
    <w:tbl>
      <w:tblPr>
        <w:tblStyle w:val="TableGrid"/>
        <w:tblW w:w="9572" w:type="dxa"/>
        <w:tblLayout w:type="fixed"/>
        <w:tblCellMar>
          <w:top w:w="115" w:type="dxa"/>
          <w:bottom w:w="115" w:type="dxa"/>
        </w:tblCellMar>
        <w:tblLook w:val="04A0" w:firstRow="1" w:lastRow="0" w:firstColumn="1" w:lastColumn="0" w:noHBand="0" w:noVBand="1"/>
      </w:tblPr>
      <w:tblGrid>
        <w:gridCol w:w="1838"/>
        <w:gridCol w:w="1361"/>
        <w:gridCol w:w="1361"/>
        <w:gridCol w:w="1361"/>
        <w:gridCol w:w="3651"/>
      </w:tblGrid>
      <w:tr w:rsidR="00D75692" w:rsidRPr="00E641B6" w14:paraId="2A2E0915" w14:textId="77777777" w:rsidTr="00B738E2">
        <w:trPr>
          <w:cantSplit/>
        </w:trPr>
        <w:tc>
          <w:tcPr>
            <w:tcW w:w="1838" w:type="dxa"/>
            <w:shd w:val="clear" w:color="auto" w:fill="BFBFBF" w:themeFill="background1" w:themeFillShade="BF"/>
          </w:tcPr>
          <w:p w14:paraId="7CA3708A" w14:textId="77777777" w:rsidR="00D75692" w:rsidRPr="00A0388A" w:rsidRDefault="00D75692" w:rsidP="00B738E2">
            <w:pPr>
              <w:rPr>
                <w:b/>
                <w:bCs/>
                <w:sz w:val="18"/>
                <w:szCs w:val="18"/>
                <w:lang w:val="en-US"/>
              </w:rPr>
            </w:pPr>
            <w:r w:rsidRPr="00A0388A">
              <w:rPr>
                <w:sz w:val="18"/>
                <w:szCs w:val="18"/>
              </w:rPr>
              <w:t>KPIs</w:t>
            </w:r>
          </w:p>
        </w:tc>
        <w:tc>
          <w:tcPr>
            <w:tcW w:w="1361" w:type="dxa"/>
            <w:shd w:val="clear" w:color="auto" w:fill="BFBFBF" w:themeFill="background1" w:themeFillShade="BF"/>
          </w:tcPr>
          <w:p w14:paraId="25216C20" w14:textId="77777777" w:rsidR="00D75692" w:rsidRPr="00A0388A" w:rsidRDefault="00D75692" w:rsidP="00B738E2">
            <w:pPr>
              <w:rPr>
                <w:b/>
                <w:bCs/>
                <w:sz w:val="18"/>
                <w:szCs w:val="18"/>
                <w:lang w:val="en-US"/>
              </w:rPr>
            </w:pPr>
            <w:r w:rsidRPr="00A0388A">
              <w:rPr>
                <w:sz w:val="18"/>
                <w:szCs w:val="18"/>
              </w:rPr>
              <w:t xml:space="preserve">Baseline Performance </w:t>
            </w:r>
            <w:proofErr w:type="gramStart"/>
            <w:r w:rsidRPr="00A0388A">
              <w:rPr>
                <w:sz w:val="18"/>
                <w:szCs w:val="18"/>
              </w:rPr>
              <w:t>at</w:t>
            </w:r>
            <w:proofErr w:type="gramEnd"/>
            <w:r w:rsidRPr="00A0388A">
              <w:rPr>
                <w:sz w:val="18"/>
                <w:szCs w:val="18"/>
              </w:rPr>
              <w:t xml:space="preserve"> 30 June 2024</w:t>
            </w:r>
          </w:p>
        </w:tc>
        <w:tc>
          <w:tcPr>
            <w:tcW w:w="1361" w:type="dxa"/>
            <w:shd w:val="clear" w:color="auto" w:fill="BFBFBF" w:themeFill="background1" w:themeFillShade="BF"/>
          </w:tcPr>
          <w:p w14:paraId="0E3DC332" w14:textId="77777777" w:rsidR="00D75692" w:rsidRPr="00A0388A" w:rsidRDefault="00D75692" w:rsidP="00B738E2">
            <w:pPr>
              <w:rPr>
                <w:b/>
                <w:bCs/>
                <w:sz w:val="18"/>
                <w:szCs w:val="18"/>
                <w:lang w:val="en-US"/>
              </w:rPr>
            </w:pPr>
            <w:r w:rsidRPr="00A0388A">
              <w:rPr>
                <w:sz w:val="18"/>
                <w:szCs w:val="18"/>
              </w:rPr>
              <w:t>Target for Year 1 of LTP 24-34</w:t>
            </w:r>
          </w:p>
        </w:tc>
        <w:tc>
          <w:tcPr>
            <w:tcW w:w="1361" w:type="dxa"/>
            <w:shd w:val="clear" w:color="auto" w:fill="BFBFBF" w:themeFill="background1" w:themeFillShade="BF"/>
          </w:tcPr>
          <w:p w14:paraId="72761826" w14:textId="77777777" w:rsidR="00D75692" w:rsidRPr="00A0388A" w:rsidRDefault="00D75692" w:rsidP="00B738E2">
            <w:pPr>
              <w:rPr>
                <w:b/>
                <w:bCs/>
                <w:sz w:val="18"/>
                <w:szCs w:val="18"/>
                <w:lang w:val="en-US"/>
              </w:rPr>
            </w:pPr>
            <w:r w:rsidRPr="00A0388A">
              <w:rPr>
                <w:sz w:val="18"/>
                <w:szCs w:val="18"/>
              </w:rPr>
              <w:t>Annual Result 2024-2025</w:t>
            </w:r>
          </w:p>
        </w:tc>
        <w:tc>
          <w:tcPr>
            <w:tcW w:w="3651" w:type="dxa"/>
            <w:shd w:val="clear" w:color="auto" w:fill="BFBFBF" w:themeFill="background1" w:themeFillShade="BF"/>
          </w:tcPr>
          <w:p w14:paraId="3789527B" w14:textId="77777777" w:rsidR="00D75692" w:rsidRPr="00A0388A" w:rsidRDefault="00D75692" w:rsidP="00B738E2">
            <w:pPr>
              <w:rPr>
                <w:b/>
                <w:bCs/>
                <w:sz w:val="18"/>
                <w:szCs w:val="18"/>
                <w:lang w:val="en-US"/>
              </w:rPr>
            </w:pPr>
            <w:r w:rsidRPr="00A0388A">
              <w:rPr>
                <w:sz w:val="18"/>
                <w:szCs w:val="18"/>
              </w:rPr>
              <w:t>Commentary</w:t>
            </w:r>
          </w:p>
        </w:tc>
      </w:tr>
      <w:tr w:rsidR="00D75692" w:rsidRPr="00E641B6" w14:paraId="4EB7F016" w14:textId="77777777" w:rsidTr="00B738E2">
        <w:trPr>
          <w:cantSplit/>
          <w:trHeight w:val="15"/>
        </w:trPr>
        <w:tc>
          <w:tcPr>
            <w:tcW w:w="1838" w:type="dxa"/>
            <w:shd w:val="clear" w:color="auto" w:fill="FFFFFF" w:themeFill="background1"/>
          </w:tcPr>
          <w:p w14:paraId="431F40A6" w14:textId="3F5399EF" w:rsidR="00D75692" w:rsidRPr="00D75692" w:rsidRDefault="00D75692" w:rsidP="00D75692">
            <w:pPr>
              <w:rPr>
                <w:rFonts w:cs="HelveticaNeueLT Std"/>
                <w:sz w:val="18"/>
                <w:szCs w:val="18"/>
              </w:rPr>
            </w:pPr>
            <w:r w:rsidRPr="00D75692">
              <w:rPr>
                <w:sz w:val="18"/>
                <w:szCs w:val="18"/>
              </w:rPr>
              <w:t>Percentage of complaints that are resolved within 10 working days.</w:t>
            </w:r>
          </w:p>
        </w:tc>
        <w:tc>
          <w:tcPr>
            <w:tcW w:w="1361" w:type="dxa"/>
            <w:shd w:val="clear" w:color="auto" w:fill="FFFFFF" w:themeFill="background1"/>
          </w:tcPr>
          <w:p w14:paraId="20FFE7DD" w14:textId="054532EE" w:rsidR="00D75692" w:rsidRPr="00D75692" w:rsidRDefault="00D75692" w:rsidP="00D75692">
            <w:pPr>
              <w:rPr>
                <w:rFonts w:cs="HelveticaNeueLT Std"/>
                <w:sz w:val="18"/>
                <w:szCs w:val="18"/>
              </w:rPr>
            </w:pPr>
            <w:r w:rsidRPr="00D75692">
              <w:rPr>
                <w:sz w:val="18"/>
                <w:szCs w:val="18"/>
              </w:rPr>
              <w:t>99.5%</w:t>
            </w:r>
          </w:p>
        </w:tc>
        <w:tc>
          <w:tcPr>
            <w:tcW w:w="1361" w:type="dxa"/>
            <w:shd w:val="clear" w:color="auto" w:fill="FFFFFF" w:themeFill="background1"/>
          </w:tcPr>
          <w:p w14:paraId="146ECEAC" w14:textId="4ABF846A" w:rsidR="00D75692" w:rsidRPr="00D75692" w:rsidRDefault="00D75692" w:rsidP="00D75692">
            <w:pPr>
              <w:rPr>
                <w:rFonts w:cs="HelveticaNeueLT Std"/>
                <w:sz w:val="18"/>
                <w:szCs w:val="18"/>
              </w:rPr>
            </w:pPr>
            <w:r w:rsidRPr="00D75692">
              <w:rPr>
                <w:sz w:val="18"/>
                <w:szCs w:val="18"/>
              </w:rPr>
              <w:t>&gt;95%</w:t>
            </w:r>
          </w:p>
        </w:tc>
        <w:tc>
          <w:tcPr>
            <w:tcW w:w="1361" w:type="dxa"/>
            <w:shd w:val="clear" w:color="auto" w:fill="FFFFFF" w:themeFill="background1"/>
          </w:tcPr>
          <w:p w14:paraId="79FB5799" w14:textId="3047B9F0" w:rsidR="00D75692" w:rsidRPr="00D75692" w:rsidRDefault="00D75692" w:rsidP="00D75692">
            <w:pPr>
              <w:rPr>
                <w:rFonts w:cs="HelveticaNeueLT Std"/>
                <w:sz w:val="18"/>
                <w:szCs w:val="18"/>
              </w:rPr>
            </w:pPr>
            <w:r w:rsidRPr="00D75692">
              <w:rPr>
                <w:sz w:val="18"/>
                <w:szCs w:val="18"/>
              </w:rPr>
              <w:t>97.3%</w:t>
            </w:r>
          </w:p>
        </w:tc>
        <w:tc>
          <w:tcPr>
            <w:tcW w:w="3651" w:type="dxa"/>
            <w:shd w:val="clear" w:color="auto" w:fill="FFFFFF" w:themeFill="background1"/>
          </w:tcPr>
          <w:p w14:paraId="4A20EE16" w14:textId="79FCB614" w:rsidR="00D75692" w:rsidRPr="00CC6FBB" w:rsidRDefault="00D75692" w:rsidP="00D75692">
            <w:pPr>
              <w:rPr>
                <w:rFonts w:cs="HelveticaNeueLT Std"/>
                <w:b/>
                <w:bCs/>
                <w:sz w:val="18"/>
                <w:szCs w:val="18"/>
              </w:rPr>
            </w:pPr>
            <w:r w:rsidRPr="00CC6FBB">
              <w:rPr>
                <w:rFonts w:cs="HelveticaNeueLT Std"/>
                <w:b/>
                <w:bCs/>
                <w:sz w:val="18"/>
                <w:szCs w:val="18"/>
              </w:rPr>
              <w:t>Target achieved.</w:t>
            </w:r>
          </w:p>
          <w:p w14:paraId="0CC723E0" w14:textId="4AB50773" w:rsidR="00D75692" w:rsidRPr="00D75692" w:rsidRDefault="00D75692" w:rsidP="00D75692">
            <w:pPr>
              <w:rPr>
                <w:rFonts w:cs="HelveticaNeueLT Std"/>
                <w:sz w:val="18"/>
                <w:szCs w:val="18"/>
              </w:rPr>
            </w:pPr>
            <w:r w:rsidRPr="00D75692">
              <w:rPr>
                <w:sz w:val="18"/>
                <w:szCs w:val="18"/>
              </w:rPr>
              <w:t>The KPI was met for 2024/2025, with the percentage of complaints resolved within 10 working days at 97.3%.</w:t>
            </w:r>
          </w:p>
        </w:tc>
      </w:tr>
      <w:tr w:rsidR="00D75692" w:rsidRPr="00E641B6" w14:paraId="0CEC31A5" w14:textId="77777777" w:rsidTr="00B738E2">
        <w:trPr>
          <w:cantSplit/>
          <w:trHeight w:val="15"/>
        </w:trPr>
        <w:tc>
          <w:tcPr>
            <w:tcW w:w="1838" w:type="dxa"/>
            <w:shd w:val="clear" w:color="auto" w:fill="FFFFFF" w:themeFill="background1"/>
          </w:tcPr>
          <w:p w14:paraId="0D73CA22" w14:textId="1DEBA9C3" w:rsidR="00D75692" w:rsidRPr="00D75692" w:rsidRDefault="00D75692" w:rsidP="00D75692">
            <w:pPr>
              <w:rPr>
                <w:rFonts w:cs="HelveticaNeueLT Std"/>
                <w:sz w:val="18"/>
                <w:szCs w:val="18"/>
              </w:rPr>
            </w:pPr>
            <w:r w:rsidRPr="00D75692">
              <w:rPr>
                <w:sz w:val="18"/>
                <w:szCs w:val="18"/>
              </w:rPr>
              <w:t>Percentage of customer calls that meet the service level (answered within 20 seconds).</w:t>
            </w:r>
          </w:p>
        </w:tc>
        <w:tc>
          <w:tcPr>
            <w:tcW w:w="1361" w:type="dxa"/>
            <w:shd w:val="clear" w:color="auto" w:fill="FFFFFF" w:themeFill="background1"/>
          </w:tcPr>
          <w:p w14:paraId="2E1E310D" w14:textId="74DC4F4A" w:rsidR="00D75692" w:rsidRPr="00D75692" w:rsidRDefault="00D75692" w:rsidP="00D75692">
            <w:pPr>
              <w:rPr>
                <w:rFonts w:cs="HelveticaNeueLT Std"/>
                <w:sz w:val="18"/>
                <w:szCs w:val="18"/>
              </w:rPr>
            </w:pPr>
            <w:r w:rsidRPr="00D75692">
              <w:rPr>
                <w:sz w:val="18"/>
                <w:szCs w:val="18"/>
              </w:rPr>
              <w:t>68.7%</w:t>
            </w:r>
          </w:p>
        </w:tc>
        <w:tc>
          <w:tcPr>
            <w:tcW w:w="1361" w:type="dxa"/>
            <w:shd w:val="clear" w:color="auto" w:fill="FFFFFF" w:themeFill="background1"/>
          </w:tcPr>
          <w:p w14:paraId="574C8A20" w14:textId="42DAC597" w:rsidR="00D75692" w:rsidRPr="00D75692" w:rsidRDefault="00D75692" w:rsidP="00D75692">
            <w:pPr>
              <w:rPr>
                <w:rFonts w:cs="HelveticaNeueLT Std"/>
                <w:sz w:val="18"/>
                <w:szCs w:val="18"/>
              </w:rPr>
            </w:pPr>
            <w:r w:rsidRPr="00D75692">
              <w:rPr>
                <w:sz w:val="18"/>
                <w:szCs w:val="18"/>
              </w:rPr>
              <w:t>85%</w:t>
            </w:r>
          </w:p>
        </w:tc>
        <w:tc>
          <w:tcPr>
            <w:tcW w:w="1361" w:type="dxa"/>
            <w:shd w:val="clear" w:color="auto" w:fill="FFFFFF" w:themeFill="background1"/>
          </w:tcPr>
          <w:p w14:paraId="2E5BD5A0" w14:textId="5DDB077F" w:rsidR="00D75692" w:rsidRPr="00D75692" w:rsidRDefault="00D75692" w:rsidP="00D75692">
            <w:pPr>
              <w:rPr>
                <w:rFonts w:cs="HelveticaNeueLT Std"/>
                <w:sz w:val="18"/>
                <w:szCs w:val="18"/>
              </w:rPr>
            </w:pPr>
            <w:r w:rsidRPr="00D75692">
              <w:rPr>
                <w:sz w:val="18"/>
                <w:szCs w:val="18"/>
              </w:rPr>
              <w:t>88.6%</w:t>
            </w:r>
          </w:p>
        </w:tc>
        <w:tc>
          <w:tcPr>
            <w:tcW w:w="3651" w:type="dxa"/>
            <w:shd w:val="clear" w:color="auto" w:fill="FFFFFF" w:themeFill="background1"/>
          </w:tcPr>
          <w:p w14:paraId="6C5A9A7B" w14:textId="6EE20B2F" w:rsidR="00D75692" w:rsidRPr="00CC6FBB" w:rsidRDefault="00D75692" w:rsidP="00D75692">
            <w:pPr>
              <w:rPr>
                <w:rFonts w:cs="HelveticaNeueLT Std"/>
                <w:b/>
                <w:bCs/>
                <w:sz w:val="18"/>
                <w:szCs w:val="18"/>
              </w:rPr>
            </w:pPr>
            <w:r w:rsidRPr="00CC6FBB">
              <w:rPr>
                <w:rFonts w:cs="HelveticaNeueLT Std"/>
                <w:b/>
                <w:bCs/>
                <w:sz w:val="18"/>
                <w:szCs w:val="18"/>
              </w:rPr>
              <w:t>Target achieved.</w:t>
            </w:r>
          </w:p>
          <w:p w14:paraId="141F3976" w14:textId="36BB8494" w:rsidR="00D75692" w:rsidRPr="00D75692" w:rsidRDefault="00D75692" w:rsidP="00D75692">
            <w:pPr>
              <w:rPr>
                <w:rFonts w:cs="HelveticaNeueLT Std"/>
                <w:sz w:val="18"/>
                <w:szCs w:val="18"/>
              </w:rPr>
            </w:pPr>
            <w:r w:rsidRPr="00D75692">
              <w:rPr>
                <w:sz w:val="18"/>
                <w:szCs w:val="18"/>
              </w:rPr>
              <w:t>The KPI was met for 2024/2025 with the percentage of calls answered within 20 seconds at 88.6%.</w:t>
            </w:r>
          </w:p>
        </w:tc>
      </w:tr>
      <w:tr w:rsidR="00D75692" w:rsidRPr="00E641B6" w14:paraId="3706D9B0" w14:textId="77777777" w:rsidTr="00B738E2">
        <w:trPr>
          <w:cantSplit/>
          <w:trHeight w:val="15"/>
        </w:trPr>
        <w:tc>
          <w:tcPr>
            <w:tcW w:w="1838" w:type="dxa"/>
            <w:shd w:val="clear" w:color="auto" w:fill="FFFFFF" w:themeFill="background1"/>
          </w:tcPr>
          <w:p w14:paraId="440A05CC" w14:textId="52D9FBC1" w:rsidR="00D75692" w:rsidRPr="00D75692" w:rsidRDefault="00D75692" w:rsidP="00D75692">
            <w:pPr>
              <w:rPr>
                <w:rFonts w:cs="HelveticaNeueLT Std"/>
                <w:sz w:val="18"/>
                <w:szCs w:val="18"/>
              </w:rPr>
            </w:pPr>
            <w:r w:rsidRPr="00D75692">
              <w:rPr>
                <w:sz w:val="18"/>
                <w:szCs w:val="18"/>
              </w:rPr>
              <w:t>Percentage of Councillor enquiries responded to within 5 working days.</w:t>
            </w:r>
          </w:p>
        </w:tc>
        <w:tc>
          <w:tcPr>
            <w:tcW w:w="1361" w:type="dxa"/>
            <w:shd w:val="clear" w:color="auto" w:fill="FFFFFF" w:themeFill="background1"/>
          </w:tcPr>
          <w:p w14:paraId="4F8D2B6A" w14:textId="0F9BFABA" w:rsidR="00D75692" w:rsidRPr="00D75692" w:rsidRDefault="00D75692" w:rsidP="00D75692">
            <w:pPr>
              <w:rPr>
                <w:rFonts w:cs="HelveticaNeueLT Std"/>
                <w:sz w:val="18"/>
                <w:szCs w:val="18"/>
              </w:rPr>
            </w:pPr>
            <w:r w:rsidRPr="00D75692">
              <w:rPr>
                <w:sz w:val="18"/>
                <w:szCs w:val="18"/>
              </w:rPr>
              <w:t>84.6%</w:t>
            </w:r>
          </w:p>
        </w:tc>
        <w:tc>
          <w:tcPr>
            <w:tcW w:w="1361" w:type="dxa"/>
            <w:shd w:val="clear" w:color="auto" w:fill="FFFFFF" w:themeFill="background1"/>
          </w:tcPr>
          <w:p w14:paraId="75C76635" w14:textId="6DEE5C5A" w:rsidR="00D75692" w:rsidRPr="00D75692" w:rsidRDefault="00D75692" w:rsidP="00D75692">
            <w:pPr>
              <w:rPr>
                <w:rFonts w:cs="HelveticaNeueLT Std"/>
                <w:sz w:val="18"/>
                <w:szCs w:val="18"/>
              </w:rPr>
            </w:pPr>
            <w:r w:rsidRPr="00D75692">
              <w:rPr>
                <w:sz w:val="18"/>
                <w:szCs w:val="18"/>
              </w:rPr>
              <w:t>100%</w:t>
            </w:r>
          </w:p>
        </w:tc>
        <w:tc>
          <w:tcPr>
            <w:tcW w:w="1361" w:type="dxa"/>
            <w:shd w:val="clear" w:color="auto" w:fill="FFFFFF" w:themeFill="background1"/>
          </w:tcPr>
          <w:p w14:paraId="7DA90440" w14:textId="6C59DE08" w:rsidR="00D75692" w:rsidRPr="00D75692" w:rsidRDefault="00D75692" w:rsidP="00D75692">
            <w:pPr>
              <w:rPr>
                <w:rFonts w:cs="HelveticaNeueLT Std"/>
                <w:sz w:val="18"/>
                <w:szCs w:val="18"/>
              </w:rPr>
            </w:pPr>
            <w:r w:rsidRPr="00D75692">
              <w:rPr>
                <w:sz w:val="18"/>
                <w:szCs w:val="18"/>
              </w:rPr>
              <w:t>88.2%</w:t>
            </w:r>
          </w:p>
        </w:tc>
        <w:tc>
          <w:tcPr>
            <w:tcW w:w="3651" w:type="dxa"/>
            <w:shd w:val="clear" w:color="auto" w:fill="FFFFFF" w:themeFill="background1"/>
          </w:tcPr>
          <w:p w14:paraId="6AE54E60" w14:textId="77777777" w:rsidR="00D75692" w:rsidRPr="00CC6FBB" w:rsidRDefault="00D75692" w:rsidP="00D75692">
            <w:pPr>
              <w:rPr>
                <w:rFonts w:cs="HelveticaNeueLT Std"/>
                <w:b/>
                <w:bCs/>
                <w:sz w:val="18"/>
                <w:szCs w:val="18"/>
              </w:rPr>
            </w:pPr>
            <w:r w:rsidRPr="00CC6FBB">
              <w:rPr>
                <w:rFonts w:cs="HelveticaNeueLT Std"/>
                <w:b/>
                <w:bCs/>
                <w:sz w:val="18"/>
                <w:szCs w:val="18"/>
              </w:rPr>
              <w:t xml:space="preserve">Target </w:t>
            </w:r>
            <w:r>
              <w:rPr>
                <w:rFonts w:cs="HelveticaNeueLT Std"/>
                <w:b/>
                <w:bCs/>
                <w:sz w:val="18"/>
                <w:szCs w:val="18"/>
              </w:rPr>
              <w:t xml:space="preserve">not </w:t>
            </w:r>
            <w:r w:rsidRPr="00CC6FBB">
              <w:rPr>
                <w:rFonts w:cs="HelveticaNeueLT Std"/>
                <w:b/>
                <w:bCs/>
                <w:sz w:val="18"/>
                <w:szCs w:val="18"/>
              </w:rPr>
              <w:t>achieved.</w:t>
            </w:r>
          </w:p>
          <w:p w14:paraId="5814F4F9" w14:textId="4EA7C421" w:rsidR="00D75692" w:rsidRPr="00D75692" w:rsidRDefault="00D75692" w:rsidP="00D75692">
            <w:pPr>
              <w:rPr>
                <w:rFonts w:cs="HelveticaNeueLT Std"/>
                <w:sz w:val="18"/>
                <w:szCs w:val="18"/>
              </w:rPr>
            </w:pPr>
            <w:r w:rsidRPr="00D75692">
              <w:rPr>
                <w:sz w:val="18"/>
                <w:szCs w:val="18"/>
              </w:rPr>
              <w:t>The KPI was not met in 2024/2025 due to the volume of requests and the complexity of enquiries. 254 Enquiries were received, compared to 228 in 2023/24 and 79 in 2022/23.</w:t>
            </w:r>
          </w:p>
        </w:tc>
      </w:tr>
      <w:tr w:rsidR="00DE45E8" w:rsidRPr="00E641B6" w14:paraId="0AB1C2C1" w14:textId="77777777" w:rsidTr="00B738E2">
        <w:trPr>
          <w:cantSplit/>
          <w:trHeight w:val="15"/>
        </w:trPr>
        <w:tc>
          <w:tcPr>
            <w:tcW w:w="1838" w:type="dxa"/>
            <w:shd w:val="clear" w:color="auto" w:fill="FFFFFF" w:themeFill="background1"/>
          </w:tcPr>
          <w:p w14:paraId="28DB4990" w14:textId="77777777" w:rsidR="00DE45E8" w:rsidRPr="00DE45E8" w:rsidRDefault="00DE45E8" w:rsidP="00DE45E8">
            <w:pPr>
              <w:rPr>
                <w:sz w:val="18"/>
                <w:szCs w:val="18"/>
              </w:rPr>
            </w:pPr>
            <w:r w:rsidRPr="00DE45E8">
              <w:rPr>
                <w:sz w:val="18"/>
                <w:szCs w:val="18"/>
              </w:rPr>
              <w:t>Customer satisfaction with:</w:t>
            </w:r>
          </w:p>
          <w:p w14:paraId="4F4F2C82" w14:textId="3DC2B81E" w:rsidR="00DE45E8" w:rsidRPr="00DE45E8" w:rsidRDefault="00DE45E8" w:rsidP="00DE45E8">
            <w:pPr>
              <w:pStyle w:val="ListParagraph"/>
              <w:numPr>
                <w:ilvl w:val="0"/>
                <w:numId w:val="31"/>
              </w:numPr>
              <w:rPr>
                <w:sz w:val="18"/>
                <w:szCs w:val="18"/>
              </w:rPr>
            </w:pPr>
            <w:r w:rsidRPr="00DE45E8">
              <w:rPr>
                <w:sz w:val="18"/>
                <w:szCs w:val="18"/>
              </w:rPr>
              <w:t>speed of response and final resolution</w:t>
            </w:r>
          </w:p>
        </w:tc>
        <w:tc>
          <w:tcPr>
            <w:tcW w:w="1361" w:type="dxa"/>
            <w:shd w:val="clear" w:color="auto" w:fill="FFFFFF" w:themeFill="background1"/>
          </w:tcPr>
          <w:p w14:paraId="2B6B59D5" w14:textId="094C5403" w:rsidR="00DE45E8" w:rsidRPr="00DE45E8" w:rsidRDefault="00DE45E8" w:rsidP="00DE45E8">
            <w:pPr>
              <w:rPr>
                <w:sz w:val="18"/>
                <w:szCs w:val="18"/>
              </w:rPr>
            </w:pPr>
            <w:r w:rsidRPr="00DE45E8">
              <w:rPr>
                <w:sz w:val="18"/>
                <w:szCs w:val="18"/>
              </w:rPr>
              <w:t>84%</w:t>
            </w:r>
          </w:p>
        </w:tc>
        <w:tc>
          <w:tcPr>
            <w:tcW w:w="1361" w:type="dxa"/>
            <w:shd w:val="clear" w:color="auto" w:fill="FFFFFF" w:themeFill="background1"/>
          </w:tcPr>
          <w:p w14:paraId="50621BB7" w14:textId="503F9C1B" w:rsidR="00DE45E8" w:rsidRPr="00DE45E8" w:rsidRDefault="00DE45E8" w:rsidP="00DE45E8">
            <w:pPr>
              <w:rPr>
                <w:sz w:val="18"/>
                <w:szCs w:val="18"/>
              </w:rPr>
            </w:pPr>
            <w:r w:rsidRPr="00DE45E8">
              <w:rPr>
                <w:sz w:val="18"/>
                <w:szCs w:val="18"/>
              </w:rPr>
              <w:t>75%</w:t>
            </w:r>
          </w:p>
        </w:tc>
        <w:tc>
          <w:tcPr>
            <w:tcW w:w="1361" w:type="dxa"/>
            <w:shd w:val="clear" w:color="auto" w:fill="FFFFFF" w:themeFill="background1"/>
          </w:tcPr>
          <w:p w14:paraId="5ECE256D" w14:textId="3354874F" w:rsidR="00DE45E8" w:rsidRPr="00DE45E8" w:rsidRDefault="00DE45E8" w:rsidP="00DE45E8">
            <w:pPr>
              <w:rPr>
                <w:sz w:val="18"/>
                <w:szCs w:val="18"/>
              </w:rPr>
            </w:pPr>
            <w:r w:rsidRPr="00DE45E8">
              <w:rPr>
                <w:sz w:val="18"/>
                <w:szCs w:val="18"/>
              </w:rPr>
              <w:t>93%</w:t>
            </w:r>
          </w:p>
        </w:tc>
        <w:tc>
          <w:tcPr>
            <w:tcW w:w="3651" w:type="dxa"/>
            <w:vMerge w:val="restart"/>
            <w:shd w:val="clear" w:color="auto" w:fill="FFFFFF" w:themeFill="background1"/>
          </w:tcPr>
          <w:p w14:paraId="12141045" w14:textId="77777777" w:rsidR="00DE45E8" w:rsidRPr="00CC6FBB" w:rsidRDefault="00DE45E8" w:rsidP="00DE45E8">
            <w:pPr>
              <w:rPr>
                <w:rFonts w:cs="HelveticaNeueLT Std"/>
                <w:b/>
                <w:bCs/>
                <w:sz w:val="18"/>
                <w:szCs w:val="18"/>
              </w:rPr>
            </w:pPr>
            <w:r w:rsidRPr="00CC6FBB">
              <w:rPr>
                <w:rFonts w:cs="HelveticaNeueLT Std"/>
                <w:b/>
                <w:bCs/>
                <w:sz w:val="18"/>
                <w:szCs w:val="18"/>
              </w:rPr>
              <w:t>Target achieved.</w:t>
            </w:r>
          </w:p>
          <w:p w14:paraId="257EC0A8" w14:textId="3E27A5E5" w:rsidR="00DE45E8" w:rsidRPr="00DE45E8" w:rsidRDefault="00DE45E8" w:rsidP="00DE45E8">
            <w:pPr>
              <w:rPr>
                <w:rFonts w:cs="HelveticaNeueLT Std"/>
                <w:sz w:val="18"/>
                <w:szCs w:val="18"/>
              </w:rPr>
            </w:pPr>
            <w:r w:rsidRPr="00DE45E8">
              <w:rPr>
                <w:rFonts w:cs="HelveticaNeueLT Std"/>
                <w:sz w:val="18"/>
                <w:szCs w:val="18"/>
              </w:rPr>
              <w:t>The customer satisfaction KPI metrics were achieved in 2024/2025, with all four measures achieving greater than 75%.</w:t>
            </w:r>
          </w:p>
        </w:tc>
      </w:tr>
      <w:tr w:rsidR="00DE45E8" w:rsidRPr="00E641B6" w14:paraId="4DF4F622" w14:textId="77777777" w:rsidTr="00B738E2">
        <w:trPr>
          <w:cantSplit/>
          <w:trHeight w:val="15"/>
        </w:trPr>
        <w:tc>
          <w:tcPr>
            <w:tcW w:w="1838" w:type="dxa"/>
            <w:shd w:val="clear" w:color="auto" w:fill="FFFFFF" w:themeFill="background1"/>
          </w:tcPr>
          <w:p w14:paraId="3D2A5B87" w14:textId="6DEFE55B" w:rsidR="00DE45E8" w:rsidRPr="00DE45E8" w:rsidRDefault="00DE45E8" w:rsidP="00DE45E8">
            <w:pPr>
              <w:pStyle w:val="ListParagraph"/>
              <w:numPr>
                <w:ilvl w:val="0"/>
                <w:numId w:val="31"/>
              </w:numPr>
              <w:rPr>
                <w:sz w:val="18"/>
                <w:szCs w:val="18"/>
              </w:rPr>
            </w:pPr>
            <w:r w:rsidRPr="00DE45E8">
              <w:rPr>
                <w:sz w:val="18"/>
                <w:szCs w:val="18"/>
              </w:rPr>
              <w:t>clarity of process and timeframes</w:t>
            </w:r>
          </w:p>
        </w:tc>
        <w:tc>
          <w:tcPr>
            <w:tcW w:w="1361" w:type="dxa"/>
            <w:shd w:val="clear" w:color="auto" w:fill="FFFFFF" w:themeFill="background1"/>
          </w:tcPr>
          <w:p w14:paraId="1D0627EE" w14:textId="34A8E21E" w:rsidR="00DE45E8" w:rsidRPr="00DE45E8" w:rsidRDefault="00DE45E8" w:rsidP="00DE45E8">
            <w:pPr>
              <w:rPr>
                <w:sz w:val="18"/>
                <w:szCs w:val="18"/>
              </w:rPr>
            </w:pPr>
            <w:r w:rsidRPr="00DE45E8">
              <w:rPr>
                <w:sz w:val="18"/>
                <w:szCs w:val="18"/>
              </w:rPr>
              <w:t>87%</w:t>
            </w:r>
          </w:p>
        </w:tc>
        <w:tc>
          <w:tcPr>
            <w:tcW w:w="1361" w:type="dxa"/>
            <w:shd w:val="clear" w:color="auto" w:fill="FFFFFF" w:themeFill="background1"/>
          </w:tcPr>
          <w:p w14:paraId="10369FCB" w14:textId="4DF77AFB" w:rsidR="00DE45E8" w:rsidRPr="00DE45E8" w:rsidRDefault="00DE45E8" w:rsidP="00DE45E8">
            <w:pPr>
              <w:rPr>
                <w:sz w:val="18"/>
                <w:szCs w:val="18"/>
              </w:rPr>
            </w:pPr>
            <w:r w:rsidRPr="00DE45E8">
              <w:rPr>
                <w:sz w:val="18"/>
                <w:szCs w:val="18"/>
              </w:rPr>
              <w:t>75%</w:t>
            </w:r>
          </w:p>
        </w:tc>
        <w:tc>
          <w:tcPr>
            <w:tcW w:w="1361" w:type="dxa"/>
            <w:shd w:val="clear" w:color="auto" w:fill="FFFFFF" w:themeFill="background1"/>
          </w:tcPr>
          <w:p w14:paraId="1A9CE96B" w14:textId="2A35C01C" w:rsidR="00DE45E8" w:rsidRPr="00DE45E8" w:rsidRDefault="00DE45E8" w:rsidP="00DE45E8">
            <w:pPr>
              <w:rPr>
                <w:sz w:val="18"/>
                <w:szCs w:val="18"/>
              </w:rPr>
            </w:pPr>
            <w:r w:rsidRPr="00DE45E8">
              <w:rPr>
                <w:sz w:val="18"/>
                <w:szCs w:val="18"/>
              </w:rPr>
              <w:t>89%</w:t>
            </w:r>
          </w:p>
        </w:tc>
        <w:tc>
          <w:tcPr>
            <w:tcW w:w="3651" w:type="dxa"/>
            <w:vMerge/>
            <w:shd w:val="clear" w:color="auto" w:fill="FFFFFF" w:themeFill="background1"/>
          </w:tcPr>
          <w:p w14:paraId="10B369F8" w14:textId="77777777" w:rsidR="00DE45E8" w:rsidRPr="00CC6FBB" w:rsidRDefault="00DE45E8" w:rsidP="00DE45E8">
            <w:pPr>
              <w:rPr>
                <w:rFonts w:cs="HelveticaNeueLT Std"/>
                <w:b/>
                <w:bCs/>
                <w:sz w:val="18"/>
                <w:szCs w:val="18"/>
              </w:rPr>
            </w:pPr>
          </w:p>
        </w:tc>
      </w:tr>
      <w:tr w:rsidR="00DE45E8" w:rsidRPr="00E641B6" w14:paraId="60C3ADC9" w14:textId="77777777" w:rsidTr="00B738E2">
        <w:trPr>
          <w:cantSplit/>
          <w:trHeight w:val="15"/>
        </w:trPr>
        <w:tc>
          <w:tcPr>
            <w:tcW w:w="1838" w:type="dxa"/>
            <w:shd w:val="clear" w:color="auto" w:fill="FFFFFF" w:themeFill="background1"/>
          </w:tcPr>
          <w:p w14:paraId="393C4EDD" w14:textId="22D9A3B7" w:rsidR="00DE45E8" w:rsidRPr="00DE45E8" w:rsidRDefault="00DE45E8" w:rsidP="00DE45E8">
            <w:pPr>
              <w:pStyle w:val="ListParagraph"/>
              <w:numPr>
                <w:ilvl w:val="0"/>
                <w:numId w:val="31"/>
              </w:numPr>
              <w:rPr>
                <w:sz w:val="18"/>
                <w:szCs w:val="18"/>
              </w:rPr>
            </w:pPr>
            <w:r w:rsidRPr="00DE45E8">
              <w:rPr>
                <w:sz w:val="18"/>
                <w:szCs w:val="18"/>
              </w:rPr>
              <w:t>staff knowledge and professionalism</w:t>
            </w:r>
          </w:p>
        </w:tc>
        <w:tc>
          <w:tcPr>
            <w:tcW w:w="1361" w:type="dxa"/>
            <w:shd w:val="clear" w:color="auto" w:fill="FFFFFF" w:themeFill="background1"/>
          </w:tcPr>
          <w:p w14:paraId="59AA5025" w14:textId="0637979A" w:rsidR="00DE45E8" w:rsidRPr="00DE45E8" w:rsidRDefault="00DE45E8" w:rsidP="00DE45E8">
            <w:pPr>
              <w:rPr>
                <w:sz w:val="18"/>
                <w:szCs w:val="18"/>
              </w:rPr>
            </w:pPr>
            <w:r w:rsidRPr="00DE45E8">
              <w:rPr>
                <w:sz w:val="18"/>
                <w:szCs w:val="18"/>
              </w:rPr>
              <w:t>96%</w:t>
            </w:r>
          </w:p>
        </w:tc>
        <w:tc>
          <w:tcPr>
            <w:tcW w:w="1361" w:type="dxa"/>
            <w:shd w:val="clear" w:color="auto" w:fill="FFFFFF" w:themeFill="background1"/>
          </w:tcPr>
          <w:p w14:paraId="75D18FCD" w14:textId="1DBF90BE" w:rsidR="00DE45E8" w:rsidRPr="00DE45E8" w:rsidRDefault="00DE45E8" w:rsidP="00DE45E8">
            <w:pPr>
              <w:rPr>
                <w:sz w:val="18"/>
                <w:szCs w:val="18"/>
              </w:rPr>
            </w:pPr>
            <w:r w:rsidRPr="00DE45E8">
              <w:rPr>
                <w:sz w:val="18"/>
                <w:szCs w:val="18"/>
              </w:rPr>
              <w:t>75%</w:t>
            </w:r>
          </w:p>
        </w:tc>
        <w:tc>
          <w:tcPr>
            <w:tcW w:w="1361" w:type="dxa"/>
            <w:shd w:val="clear" w:color="auto" w:fill="FFFFFF" w:themeFill="background1"/>
          </w:tcPr>
          <w:p w14:paraId="0386AF0D" w14:textId="5920796D" w:rsidR="00DE45E8" w:rsidRPr="00DE45E8" w:rsidRDefault="00DE45E8" w:rsidP="00DE45E8">
            <w:pPr>
              <w:rPr>
                <w:sz w:val="18"/>
                <w:szCs w:val="18"/>
              </w:rPr>
            </w:pPr>
            <w:r w:rsidRPr="00DE45E8">
              <w:rPr>
                <w:sz w:val="18"/>
                <w:szCs w:val="18"/>
              </w:rPr>
              <w:t>96%</w:t>
            </w:r>
          </w:p>
        </w:tc>
        <w:tc>
          <w:tcPr>
            <w:tcW w:w="3651" w:type="dxa"/>
            <w:vMerge/>
            <w:shd w:val="clear" w:color="auto" w:fill="FFFFFF" w:themeFill="background1"/>
          </w:tcPr>
          <w:p w14:paraId="60F637B3" w14:textId="77777777" w:rsidR="00DE45E8" w:rsidRPr="00CC6FBB" w:rsidRDefault="00DE45E8" w:rsidP="00DE45E8">
            <w:pPr>
              <w:rPr>
                <w:rFonts w:cs="HelveticaNeueLT Std"/>
                <w:b/>
                <w:bCs/>
                <w:sz w:val="18"/>
                <w:szCs w:val="18"/>
              </w:rPr>
            </w:pPr>
          </w:p>
        </w:tc>
      </w:tr>
      <w:tr w:rsidR="00DE45E8" w:rsidRPr="00E641B6" w14:paraId="1B758881" w14:textId="77777777" w:rsidTr="00B738E2">
        <w:trPr>
          <w:cantSplit/>
          <w:trHeight w:val="15"/>
        </w:trPr>
        <w:tc>
          <w:tcPr>
            <w:tcW w:w="1838" w:type="dxa"/>
            <w:shd w:val="clear" w:color="auto" w:fill="FFFFFF" w:themeFill="background1"/>
          </w:tcPr>
          <w:p w14:paraId="31101921" w14:textId="55C46C15" w:rsidR="00DE45E8" w:rsidRPr="00DE45E8" w:rsidRDefault="00DE45E8" w:rsidP="00DE45E8">
            <w:pPr>
              <w:pStyle w:val="ListParagraph"/>
              <w:numPr>
                <w:ilvl w:val="0"/>
                <w:numId w:val="31"/>
              </w:numPr>
              <w:rPr>
                <w:sz w:val="18"/>
                <w:szCs w:val="18"/>
              </w:rPr>
            </w:pPr>
            <w:r w:rsidRPr="00DE45E8">
              <w:rPr>
                <w:sz w:val="18"/>
                <w:szCs w:val="18"/>
              </w:rPr>
              <w:t>fairness and consistency</w:t>
            </w:r>
          </w:p>
        </w:tc>
        <w:tc>
          <w:tcPr>
            <w:tcW w:w="1361" w:type="dxa"/>
            <w:shd w:val="clear" w:color="auto" w:fill="FFFFFF" w:themeFill="background1"/>
          </w:tcPr>
          <w:p w14:paraId="51A0D18B" w14:textId="0679D7DC" w:rsidR="00DE45E8" w:rsidRPr="00DE45E8" w:rsidRDefault="00DE45E8" w:rsidP="00DE45E8">
            <w:pPr>
              <w:rPr>
                <w:sz w:val="18"/>
                <w:szCs w:val="18"/>
              </w:rPr>
            </w:pPr>
            <w:r w:rsidRPr="00DE45E8">
              <w:rPr>
                <w:sz w:val="18"/>
                <w:szCs w:val="18"/>
              </w:rPr>
              <w:t>95%</w:t>
            </w:r>
          </w:p>
        </w:tc>
        <w:tc>
          <w:tcPr>
            <w:tcW w:w="1361" w:type="dxa"/>
            <w:shd w:val="clear" w:color="auto" w:fill="FFFFFF" w:themeFill="background1"/>
          </w:tcPr>
          <w:p w14:paraId="21939112" w14:textId="0B5AD1CA" w:rsidR="00DE45E8" w:rsidRPr="00DE45E8" w:rsidRDefault="00DE45E8" w:rsidP="00DE45E8">
            <w:pPr>
              <w:rPr>
                <w:sz w:val="18"/>
                <w:szCs w:val="18"/>
              </w:rPr>
            </w:pPr>
            <w:r w:rsidRPr="00DE45E8">
              <w:rPr>
                <w:sz w:val="18"/>
                <w:szCs w:val="18"/>
              </w:rPr>
              <w:t>75%</w:t>
            </w:r>
          </w:p>
        </w:tc>
        <w:tc>
          <w:tcPr>
            <w:tcW w:w="1361" w:type="dxa"/>
            <w:shd w:val="clear" w:color="auto" w:fill="FFFFFF" w:themeFill="background1"/>
          </w:tcPr>
          <w:p w14:paraId="353135A2" w14:textId="362EF512" w:rsidR="00DE45E8" w:rsidRPr="00DE45E8" w:rsidRDefault="00DE45E8" w:rsidP="00DE45E8">
            <w:pPr>
              <w:rPr>
                <w:sz w:val="18"/>
                <w:szCs w:val="18"/>
              </w:rPr>
            </w:pPr>
            <w:r w:rsidRPr="00DE45E8">
              <w:rPr>
                <w:sz w:val="18"/>
                <w:szCs w:val="18"/>
              </w:rPr>
              <w:t>96%</w:t>
            </w:r>
          </w:p>
        </w:tc>
        <w:tc>
          <w:tcPr>
            <w:tcW w:w="3651" w:type="dxa"/>
            <w:vMerge/>
            <w:shd w:val="clear" w:color="auto" w:fill="FFFFFF" w:themeFill="background1"/>
          </w:tcPr>
          <w:p w14:paraId="3BE35661" w14:textId="77777777" w:rsidR="00DE45E8" w:rsidRPr="00CC6FBB" w:rsidRDefault="00DE45E8" w:rsidP="00DE45E8">
            <w:pPr>
              <w:rPr>
                <w:rFonts w:cs="HelveticaNeueLT Std"/>
                <w:b/>
                <w:bCs/>
                <w:sz w:val="18"/>
                <w:szCs w:val="18"/>
              </w:rPr>
            </w:pPr>
          </w:p>
        </w:tc>
      </w:tr>
      <w:tr w:rsidR="00DE45E8" w:rsidRPr="00E641B6" w14:paraId="1264D9B3" w14:textId="77777777" w:rsidTr="00B738E2">
        <w:trPr>
          <w:cantSplit/>
          <w:trHeight w:val="15"/>
        </w:trPr>
        <w:tc>
          <w:tcPr>
            <w:tcW w:w="1838" w:type="dxa"/>
            <w:shd w:val="clear" w:color="auto" w:fill="FFFFFF" w:themeFill="background1"/>
          </w:tcPr>
          <w:p w14:paraId="3AFE6CC7" w14:textId="5EB2CC7D" w:rsidR="00DE45E8" w:rsidRPr="00155B48" w:rsidRDefault="00DE45E8" w:rsidP="00DE45E8">
            <w:pPr>
              <w:rPr>
                <w:sz w:val="18"/>
                <w:szCs w:val="18"/>
              </w:rPr>
            </w:pPr>
            <w:r w:rsidRPr="00155B48">
              <w:rPr>
                <w:sz w:val="18"/>
                <w:szCs w:val="18"/>
              </w:rPr>
              <w:t>Reduction in the Total Recordable Injury Frequency Rate.</w:t>
            </w:r>
          </w:p>
        </w:tc>
        <w:tc>
          <w:tcPr>
            <w:tcW w:w="1361" w:type="dxa"/>
            <w:shd w:val="clear" w:color="auto" w:fill="FFFFFF" w:themeFill="background1"/>
          </w:tcPr>
          <w:p w14:paraId="4D9FE522" w14:textId="0C5BD2D2" w:rsidR="00DE45E8" w:rsidRPr="00155B48" w:rsidRDefault="00DE45E8" w:rsidP="00DE45E8">
            <w:pPr>
              <w:rPr>
                <w:sz w:val="18"/>
                <w:szCs w:val="18"/>
              </w:rPr>
            </w:pPr>
            <w:r w:rsidRPr="00155B48">
              <w:rPr>
                <w:sz w:val="18"/>
                <w:szCs w:val="18"/>
              </w:rPr>
              <w:t>9.19</w:t>
            </w:r>
          </w:p>
        </w:tc>
        <w:tc>
          <w:tcPr>
            <w:tcW w:w="1361" w:type="dxa"/>
            <w:shd w:val="clear" w:color="auto" w:fill="FFFFFF" w:themeFill="background1"/>
          </w:tcPr>
          <w:p w14:paraId="0A263733" w14:textId="3FA1B1EF" w:rsidR="00DE45E8" w:rsidRPr="00155B48" w:rsidRDefault="00DE45E8" w:rsidP="00DE45E8">
            <w:pPr>
              <w:rPr>
                <w:sz w:val="18"/>
                <w:szCs w:val="18"/>
              </w:rPr>
            </w:pPr>
            <w:r w:rsidRPr="00155B48">
              <w:rPr>
                <w:sz w:val="18"/>
                <w:szCs w:val="18"/>
              </w:rPr>
              <w:t>&lt;9</w:t>
            </w:r>
            <w:r w:rsidRPr="00155B48">
              <w:rPr>
                <w:rStyle w:val="FootnoteReference"/>
                <w:sz w:val="18"/>
                <w:szCs w:val="18"/>
              </w:rPr>
              <w:footnoteReference w:id="59"/>
            </w:r>
          </w:p>
        </w:tc>
        <w:tc>
          <w:tcPr>
            <w:tcW w:w="1361" w:type="dxa"/>
            <w:shd w:val="clear" w:color="auto" w:fill="FFFFFF" w:themeFill="background1"/>
          </w:tcPr>
          <w:p w14:paraId="77205DF1" w14:textId="35A84724" w:rsidR="00DE45E8" w:rsidRPr="00155B48" w:rsidRDefault="00DE45E8" w:rsidP="00DE45E8">
            <w:pPr>
              <w:rPr>
                <w:sz w:val="18"/>
                <w:szCs w:val="18"/>
              </w:rPr>
            </w:pPr>
            <w:r w:rsidRPr="00155B48">
              <w:rPr>
                <w:sz w:val="18"/>
                <w:szCs w:val="18"/>
              </w:rPr>
              <w:t>6.67</w:t>
            </w:r>
          </w:p>
        </w:tc>
        <w:tc>
          <w:tcPr>
            <w:tcW w:w="3651" w:type="dxa"/>
            <w:shd w:val="clear" w:color="auto" w:fill="FFFFFF" w:themeFill="background1"/>
          </w:tcPr>
          <w:p w14:paraId="201DB46F" w14:textId="77777777" w:rsidR="00DE45E8" w:rsidRPr="00155B48" w:rsidRDefault="00DE45E8" w:rsidP="00DE45E8">
            <w:pPr>
              <w:rPr>
                <w:rFonts w:cs="HelveticaNeueLT Std"/>
                <w:b/>
                <w:bCs/>
                <w:sz w:val="18"/>
                <w:szCs w:val="18"/>
              </w:rPr>
            </w:pPr>
            <w:r w:rsidRPr="00155B48">
              <w:rPr>
                <w:rFonts w:cs="HelveticaNeueLT Std"/>
                <w:b/>
                <w:bCs/>
                <w:sz w:val="18"/>
                <w:szCs w:val="18"/>
              </w:rPr>
              <w:t>Target achieved.</w:t>
            </w:r>
          </w:p>
          <w:p w14:paraId="2FC0CC28" w14:textId="13BE0CB1" w:rsidR="00DE45E8" w:rsidRPr="00155B48" w:rsidRDefault="00DE45E8" w:rsidP="00DE45E8">
            <w:pPr>
              <w:rPr>
                <w:rFonts w:cs="HelveticaNeueLT Std"/>
                <w:b/>
                <w:bCs/>
                <w:sz w:val="18"/>
                <w:szCs w:val="18"/>
              </w:rPr>
            </w:pPr>
            <w:r w:rsidRPr="00155B48">
              <w:rPr>
                <w:sz w:val="18"/>
                <w:szCs w:val="18"/>
              </w:rPr>
              <w:t>Total Recordable Injury Frequency Rate is a lagging indicator. This KPI was achieved. QLDC implement a robust and supportive stay at work program that enables our employees to actively and safely recover within the workplace.</w:t>
            </w:r>
          </w:p>
        </w:tc>
      </w:tr>
      <w:tr w:rsidR="00155B48" w:rsidRPr="00E641B6" w14:paraId="76DF2D21" w14:textId="77777777" w:rsidTr="00B738E2">
        <w:trPr>
          <w:cantSplit/>
          <w:trHeight w:val="15"/>
        </w:trPr>
        <w:tc>
          <w:tcPr>
            <w:tcW w:w="1838" w:type="dxa"/>
            <w:shd w:val="clear" w:color="auto" w:fill="FFFFFF" w:themeFill="background1"/>
          </w:tcPr>
          <w:p w14:paraId="7EBBDE88" w14:textId="5F859A30" w:rsidR="00155B48" w:rsidRPr="00155B48" w:rsidRDefault="00155B48" w:rsidP="00155B48">
            <w:pPr>
              <w:rPr>
                <w:sz w:val="18"/>
                <w:szCs w:val="18"/>
              </w:rPr>
            </w:pPr>
            <w:r w:rsidRPr="00155B48">
              <w:rPr>
                <w:sz w:val="18"/>
                <w:szCs w:val="18"/>
              </w:rPr>
              <w:lastRenderedPageBreak/>
              <w:t>Weighted average interest rate.</w:t>
            </w:r>
          </w:p>
        </w:tc>
        <w:tc>
          <w:tcPr>
            <w:tcW w:w="1361" w:type="dxa"/>
            <w:shd w:val="clear" w:color="auto" w:fill="FFFFFF" w:themeFill="background1"/>
          </w:tcPr>
          <w:p w14:paraId="08551194" w14:textId="2379127C" w:rsidR="00155B48" w:rsidRPr="00155B48" w:rsidRDefault="00155B48" w:rsidP="00155B48">
            <w:pPr>
              <w:rPr>
                <w:sz w:val="18"/>
                <w:szCs w:val="18"/>
              </w:rPr>
            </w:pPr>
            <w:r w:rsidRPr="00155B48">
              <w:rPr>
                <w:sz w:val="18"/>
                <w:szCs w:val="18"/>
              </w:rPr>
              <w:t>5.03%</w:t>
            </w:r>
          </w:p>
        </w:tc>
        <w:tc>
          <w:tcPr>
            <w:tcW w:w="1361" w:type="dxa"/>
            <w:shd w:val="clear" w:color="auto" w:fill="FFFFFF" w:themeFill="background1"/>
          </w:tcPr>
          <w:p w14:paraId="42900C25" w14:textId="76C6D9DD" w:rsidR="00155B48" w:rsidRPr="00155B48" w:rsidRDefault="00155B48" w:rsidP="00155B48">
            <w:pPr>
              <w:rPr>
                <w:sz w:val="18"/>
                <w:szCs w:val="18"/>
              </w:rPr>
            </w:pPr>
            <w:r w:rsidRPr="00155B48">
              <w:rPr>
                <w:sz w:val="18"/>
                <w:szCs w:val="18"/>
              </w:rPr>
              <w:t>&lt;6%</w:t>
            </w:r>
          </w:p>
        </w:tc>
        <w:tc>
          <w:tcPr>
            <w:tcW w:w="1361" w:type="dxa"/>
            <w:shd w:val="clear" w:color="auto" w:fill="FFFFFF" w:themeFill="background1"/>
          </w:tcPr>
          <w:p w14:paraId="2B2EB5D1" w14:textId="45A0E3AD" w:rsidR="00155B48" w:rsidRPr="00155B48" w:rsidRDefault="00155B48" w:rsidP="00155B48">
            <w:pPr>
              <w:rPr>
                <w:sz w:val="18"/>
                <w:szCs w:val="18"/>
              </w:rPr>
            </w:pPr>
            <w:r w:rsidRPr="00155B48">
              <w:rPr>
                <w:sz w:val="18"/>
                <w:szCs w:val="18"/>
              </w:rPr>
              <w:t>4.05%</w:t>
            </w:r>
          </w:p>
        </w:tc>
        <w:tc>
          <w:tcPr>
            <w:tcW w:w="3651" w:type="dxa"/>
            <w:shd w:val="clear" w:color="auto" w:fill="FFFFFF" w:themeFill="background1"/>
          </w:tcPr>
          <w:p w14:paraId="18FF7E8D" w14:textId="77777777" w:rsidR="00155B48" w:rsidRPr="00155B48" w:rsidRDefault="00155B48" w:rsidP="00155B48">
            <w:pPr>
              <w:rPr>
                <w:rFonts w:cs="HelveticaNeueLT Std"/>
                <w:b/>
                <w:bCs/>
                <w:sz w:val="18"/>
                <w:szCs w:val="18"/>
              </w:rPr>
            </w:pPr>
            <w:r w:rsidRPr="00155B48">
              <w:rPr>
                <w:rFonts w:cs="HelveticaNeueLT Std"/>
                <w:b/>
                <w:bCs/>
                <w:sz w:val="18"/>
                <w:szCs w:val="18"/>
              </w:rPr>
              <w:t>Target achieved.</w:t>
            </w:r>
          </w:p>
          <w:p w14:paraId="3A01EC9E" w14:textId="484B4F5F" w:rsidR="00155B48" w:rsidRPr="00155B48" w:rsidRDefault="00155B48" w:rsidP="00155B48">
            <w:pPr>
              <w:rPr>
                <w:rFonts w:cs="HelveticaNeueLT Std"/>
                <w:b/>
                <w:bCs/>
                <w:sz w:val="18"/>
                <w:szCs w:val="18"/>
              </w:rPr>
            </w:pPr>
            <w:r w:rsidRPr="00155B48">
              <w:rPr>
                <w:sz w:val="18"/>
                <w:szCs w:val="18"/>
              </w:rPr>
              <w:t xml:space="preserve">This target was achieved and has decreased on the prior year due to decreases in the official Cash Rate throughout the financial year. </w:t>
            </w:r>
          </w:p>
        </w:tc>
      </w:tr>
      <w:tr w:rsidR="00155B48" w:rsidRPr="00E641B6" w14:paraId="1625D00D" w14:textId="77777777" w:rsidTr="00B738E2">
        <w:trPr>
          <w:cantSplit/>
          <w:trHeight w:val="15"/>
        </w:trPr>
        <w:tc>
          <w:tcPr>
            <w:tcW w:w="1838" w:type="dxa"/>
            <w:shd w:val="clear" w:color="auto" w:fill="FFFFFF" w:themeFill="background1"/>
          </w:tcPr>
          <w:p w14:paraId="6DF6E335" w14:textId="0C30BC18" w:rsidR="00155B48" w:rsidRPr="00155B48" w:rsidRDefault="00155B48" w:rsidP="00155B48">
            <w:pPr>
              <w:rPr>
                <w:sz w:val="18"/>
                <w:szCs w:val="18"/>
              </w:rPr>
            </w:pPr>
            <w:r w:rsidRPr="00155B48">
              <w:rPr>
                <w:sz w:val="18"/>
                <w:szCs w:val="18"/>
              </w:rPr>
              <w:t>Debt servicing to rates revenue.</w:t>
            </w:r>
          </w:p>
        </w:tc>
        <w:tc>
          <w:tcPr>
            <w:tcW w:w="1361" w:type="dxa"/>
            <w:shd w:val="clear" w:color="auto" w:fill="FFFFFF" w:themeFill="background1"/>
          </w:tcPr>
          <w:p w14:paraId="33775A5F" w14:textId="44AC8A42" w:rsidR="00155B48" w:rsidRPr="00155B48" w:rsidRDefault="00155B48" w:rsidP="00155B48">
            <w:pPr>
              <w:rPr>
                <w:sz w:val="18"/>
                <w:szCs w:val="18"/>
              </w:rPr>
            </w:pPr>
            <w:r w:rsidRPr="00155B48">
              <w:rPr>
                <w:sz w:val="18"/>
                <w:szCs w:val="18"/>
              </w:rPr>
              <w:t>24.82%</w:t>
            </w:r>
          </w:p>
        </w:tc>
        <w:tc>
          <w:tcPr>
            <w:tcW w:w="1361" w:type="dxa"/>
            <w:shd w:val="clear" w:color="auto" w:fill="FFFFFF" w:themeFill="background1"/>
          </w:tcPr>
          <w:p w14:paraId="04D2BA91" w14:textId="2A40DFE4" w:rsidR="00155B48" w:rsidRPr="00155B48" w:rsidRDefault="00155B48" w:rsidP="00155B48">
            <w:pPr>
              <w:rPr>
                <w:sz w:val="18"/>
                <w:szCs w:val="18"/>
              </w:rPr>
            </w:pPr>
            <w:r w:rsidRPr="00155B48">
              <w:rPr>
                <w:sz w:val="18"/>
                <w:szCs w:val="18"/>
              </w:rPr>
              <w:t>&lt;30%</w:t>
            </w:r>
          </w:p>
        </w:tc>
        <w:tc>
          <w:tcPr>
            <w:tcW w:w="1361" w:type="dxa"/>
            <w:shd w:val="clear" w:color="auto" w:fill="FFFFFF" w:themeFill="background1"/>
          </w:tcPr>
          <w:p w14:paraId="234C0E2A" w14:textId="15DA0679" w:rsidR="00155B48" w:rsidRPr="00155B48" w:rsidRDefault="00155B48" w:rsidP="00155B48">
            <w:pPr>
              <w:rPr>
                <w:sz w:val="18"/>
                <w:szCs w:val="18"/>
              </w:rPr>
            </w:pPr>
            <w:r w:rsidRPr="00155B48">
              <w:rPr>
                <w:sz w:val="18"/>
                <w:szCs w:val="18"/>
              </w:rPr>
              <w:t>20.4%</w:t>
            </w:r>
          </w:p>
        </w:tc>
        <w:tc>
          <w:tcPr>
            <w:tcW w:w="3651" w:type="dxa"/>
            <w:shd w:val="clear" w:color="auto" w:fill="FFFFFF" w:themeFill="background1"/>
          </w:tcPr>
          <w:p w14:paraId="1CA69C20" w14:textId="77777777" w:rsidR="00155B48" w:rsidRPr="00155B48" w:rsidRDefault="00155B48" w:rsidP="00155B48">
            <w:pPr>
              <w:rPr>
                <w:rFonts w:cs="HelveticaNeueLT Std"/>
                <w:b/>
                <w:bCs/>
                <w:sz w:val="18"/>
                <w:szCs w:val="18"/>
              </w:rPr>
            </w:pPr>
            <w:r w:rsidRPr="00155B48">
              <w:rPr>
                <w:rFonts w:cs="HelveticaNeueLT Std"/>
                <w:b/>
                <w:bCs/>
                <w:sz w:val="18"/>
                <w:szCs w:val="18"/>
              </w:rPr>
              <w:t>Target achieved.</w:t>
            </w:r>
          </w:p>
          <w:p w14:paraId="37C831A8" w14:textId="6836FEDC" w:rsidR="00155B48" w:rsidRPr="00155B48" w:rsidRDefault="00155B48" w:rsidP="00155B48">
            <w:pPr>
              <w:rPr>
                <w:rFonts w:cs="HelveticaNeueLT Std"/>
                <w:b/>
                <w:bCs/>
                <w:sz w:val="18"/>
                <w:szCs w:val="18"/>
              </w:rPr>
            </w:pPr>
            <w:r w:rsidRPr="00155B48">
              <w:rPr>
                <w:sz w:val="18"/>
                <w:szCs w:val="18"/>
              </w:rPr>
              <w:t>This target was achieved and has decreased on the prior year due to decreases in the official Cash Rate throughout the financial year.</w:t>
            </w:r>
          </w:p>
        </w:tc>
      </w:tr>
      <w:tr w:rsidR="00155B48" w:rsidRPr="00E641B6" w14:paraId="17BE5F62" w14:textId="77777777" w:rsidTr="00B738E2">
        <w:trPr>
          <w:cantSplit/>
          <w:trHeight w:val="15"/>
        </w:trPr>
        <w:tc>
          <w:tcPr>
            <w:tcW w:w="1838" w:type="dxa"/>
            <w:shd w:val="clear" w:color="auto" w:fill="FFFFFF" w:themeFill="background1"/>
          </w:tcPr>
          <w:p w14:paraId="5362A138" w14:textId="20DC32E3" w:rsidR="00155B48" w:rsidRPr="00155B48" w:rsidRDefault="00155B48" w:rsidP="00155B48">
            <w:pPr>
              <w:rPr>
                <w:sz w:val="18"/>
                <w:szCs w:val="18"/>
              </w:rPr>
            </w:pPr>
            <w:r w:rsidRPr="00155B48">
              <w:rPr>
                <w:sz w:val="18"/>
                <w:szCs w:val="18"/>
              </w:rPr>
              <w:t>Percentage of debt owing 90 days and over (not including rates).</w:t>
            </w:r>
          </w:p>
        </w:tc>
        <w:tc>
          <w:tcPr>
            <w:tcW w:w="1361" w:type="dxa"/>
            <w:shd w:val="clear" w:color="auto" w:fill="FFFFFF" w:themeFill="background1"/>
          </w:tcPr>
          <w:p w14:paraId="09CFCC7F" w14:textId="3A98F6B2" w:rsidR="00155B48" w:rsidRPr="00155B48" w:rsidRDefault="00155B48" w:rsidP="00155B48">
            <w:pPr>
              <w:rPr>
                <w:sz w:val="18"/>
                <w:szCs w:val="18"/>
              </w:rPr>
            </w:pPr>
            <w:r w:rsidRPr="00155B48">
              <w:rPr>
                <w:sz w:val="18"/>
                <w:szCs w:val="18"/>
              </w:rPr>
              <w:t>12.07%</w:t>
            </w:r>
          </w:p>
        </w:tc>
        <w:tc>
          <w:tcPr>
            <w:tcW w:w="1361" w:type="dxa"/>
            <w:shd w:val="clear" w:color="auto" w:fill="FFFFFF" w:themeFill="background1"/>
          </w:tcPr>
          <w:p w14:paraId="03E4CDE0" w14:textId="193CE867" w:rsidR="00155B48" w:rsidRPr="00155B48" w:rsidRDefault="00155B48" w:rsidP="00155B48">
            <w:pPr>
              <w:rPr>
                <w:sz w:val="18"/>
                <w:szCs w:val="18"/>
              </w:rPr>
            </w:pPr>
            <w:r w:rsidRPr="00155B48">
              <w:rPr>
                <w:sz w:val="18"/>
                <w:szCs w:val="18"/>
              </w:rPr>
              <w:t>&lt;30%</w:t>
            </w:r>
          </w:p>
        </w:tc>
        <w:tc>
          <w:tcPr>
            <w:tcW w:w="1361" w:type="dxa"/>
            <w:shd w:val="clear" w:color="auto" w:fill="FFFFFF" w:themeFill="background1"/>
          </w:tcPr>
          <w:p w14:paraId="7BBAC484" w14:textId="50AC73CF" w:rsidR="00155B48" w:rsidRPr="00155B48" w:rsidRDefault="00155B48" w:rsidP="00155B48">
            <w:pPr>
              <w:rPr>
                <w:sz w:val="18"/>
                <w:szCs w:val="18"/>
              </w:rPr>
            </w:pPr>
            <w:r w:rsidRPr="00155B48">
              <w:rPr>
                <w:sz w:val="18"/>
                <w:szCs w:val="18"/>
              </w:rPr>
              <w:t>10.7%</w:t>
            </w:r>
          </w:p>
        </w:tc>
        <w:tc>
          <w:tcPr>
            <w:tcW w:w="3651" w:type="dxa"/>
            <w:shd w:val="clear" w:color="auto" w:fill="FFFFFF" w:themeFill="background1"/>
          </w:tcPr>
          <w:p w14:paraId="3EC0343E" w14:textId="77777777" w:rsidR="00155B48" w:rsidRPr="00155B48" w:rsidRDefault="00155B48" w:rsidP="00155B48">
            <w:pPr>
              <w:rPr>
                <w:rFonts w:cs="HelveticaNeueLT Std"/>
                <w:b/>
                <w:bCs/>
                <w:sz w:val="18"/>
                <w:szCs w:val="18"/>
              </w:rPr>
            </w:pPr>
            <w:r w:rsidRPr="00155B48">
              <w:rPr>
                <w:rFonts w:cs="HelveticaNeueLT Std"/>
                <w:b/>
                <w:bCs/>
                <w:sz w:val="18"/>
                <w:szCs w:val="18"/>
              </w:rPr>
              <w:t>Target achieved.</w:t>
            </w:r>
          </w:p>
          <w:p w14:paraId="4711FA5B" w14:textId="02E3B57A" w:rsidR="00155B48" w:rsidRPr="00155B48" w:rsidRDefault="00155B48" w:rsidP="00155B48">
            <w:pPr>
              <w:rPr>
                <w:rFonts w:cs="HelveticaNeueLT Std"/>
                <w:b/>
                <w:bCs/>
                <w:sz w:val="18"/>
                <w:szCs w:val="18"/>
              </w:rPr>
            </w:pPr>
            <w:r w:rsidRPr="00155B48">
              <w:rPr>
                <w:sz w:val="18"/>
                <w:szCs w:val="18"/>
              </w:rPr>
              <w:t>This target has been achieved and is a decrease on the prior year percentage as we are continuing to maintain collection on our aged debt.</w:t>
            </w:r>
          </w:p>
        </w:tc>
      </w:tr>
      <w:tr w:rsidR="00155B48" w:rsidRPr="00E641B6" w14:paraId="0F9D9410" w14:textId="77777777" w:rsidTr="00B738E2">
        <w:trPr>
          <w:cantSplit/>
          <w:trHeight w:val="15"/>
        </w:trPr>
        <w:tc>
          <w:tcPr>
            <w:tcW w:w="1838" w:type="dxa"/>
            <w:shd w:val="clear" w:color="auto" w:fill="FFFFFF" w:themeFill="background1"/>
          </w:tcPr>
          <w:p w14:paraId="2C230EE4" w14:textId="74B5C4A9" w:rsidR="00155B48" w:rsidRPr="00155B48" w:rsidRDefault="00155B48" w:rsidP="00155B48">
            <w:pPr>
              <w:rPr>
                <w:sz w:val="18"/>
                <w:szCs w:val="18"/>
              </w:rPr>
            </w:pPr>
            <w:r w:rsidRPr="00155B48">
              <w:rPr>
                <w:sz w:val="18"/>
                <w:szCs w:val="18"/>
              </w:rPr>
              <w:t>Renewals CAPEX to depreciation ratio.</w:t>
            </w:r>
          </w:p>
        </w:tc>
        <w:tc>
          <w:tcPr>
            <w:tcW w:w="1361" w:type="dxa"/>
            <w:shd w:val="clear" w:color="auto" w:fill="FFFFFF" w:themeFill="background1"/>
          </w:tcPr>
          <w:p w14:paraId="57FF12B9" w14:textId="7C468233" w:rsidR="00155B48" w:rsidRPr="00155B48" w:rsidRDefault="00155B48" w:rsidP="00155B48">
            <w:pPr>
              <w:rPr>
                <w:sz w:val="18"/>
                <w:szCs w:val="18"/>
              </w:rPr>
            </w:pPr>
            <w:r w:rsidRPr="00155B48">
              <w:rPr>
                <w:sz w:val="18"/>
                <w:szCs w:val="18"/>
              </w:rPr>
              <w:t>0.54</w:t>
            </w:r>
          </w:p>
        </w:tc>
        <w:tc>
          <w:tcPr>
            <w:tcW w:w="1361" w:type="dxa"/>
            <w:shd w:val="clear" w:color="auto" w:fill="FFFFFF" w:themeFill="background1"/>
          </w:tcPr>
          <w:p w14:paraId="6F7E3180" w14:textId="37FDEA92" w:rsidR="00155B48" w:rsidRPr="00155B48" w:rsidRDefault="00155B48" w:rsidP="00155B48">
            <w:pPr>
              <w:rPr>
                <w:sz w:val="18"/>
                <w:szCs w:val="18"/>
              </w:rPr>
            </w:pPr>
            <w:r w:rsidRPr="00155B48">
              <w:rPr>
                <w:sz w:val="18"/>
                <w:szCs w:val="18"/>
              </w:rPr>
              <w:t>&gt;1</w:t>
            </w:r>
          </w:p>
        </w:tc>
        <w:tc>
          <w:tcPr>
            <w:tcW w:w="1361" w:type="dxa"/>
            <w:shd w:val="clear" w:color="auto" w:fill="FFFFFF" w:themeFill="background1"/>
          </w:tcPr>
          <w:p w14:paraId="573DE3B9" w14:textId="231CA940" w:rsidR="00155B48" w:rsidRPr="00155B48" w:rsidRDefault="00155B48" w:rsidP="00155B48">
            <w:pPr>
              <w:rPr>
                <w:sz w:val="18"/>
                <w:szCs w:val="18"/>
              </w:rPr>
            </w:pPr>
            <w:r w:rsidRPr="00155B48">
              <w:rPr>
                <w:sz w:val="18"/>
                <w:szCs w:val="18"/>
              </w:rPr>
              <w:t>0.45</w:t>
            </w:r>
          </w:p>
        </w:tc>
        <w:tc>
          <w:tcPr>
            <w:tcW w:w="3651" w:type="dxa"/>
            <w:shd w:val="clear" w:color="auto" w:fill="FFFFFF" w:themeFill="background1"/>
          </w:tcPr>
          <w:p w14:paraId="4E6A9273" w14:textId="30E4081F" w:rsidR="00155B48" w:rsidRPr="00155B48" w:rsidRDefault="00155B48" w:rsidP="00155B48">
            <w:pPr>
              <w:rPr>
                <w:rFonts w:cs="HelveticaNeueLT Std"/>
                <w:b/>
                <w:bCs/>
                <w:sz w:val="18"/>
                <w:szCs w:val="18"/>
              </w:rPr>
            </w:pPr>
            <w:r w:rsidRPr="00155B48">
              <w:rPr>
                <w:rFonts w:cs="HelveticaNeueLT Std"/>
                <w:b/>
                <w:bCs/>
                <w:sz w:val="18"/>
                <w:szCs w:val="18"/>
              </w:rPr>
              <w:t xml:space="preserve">Target </w:t>
            </w:r>
            <w:r>
              <w:rPr>
                <w:rFonts w:cs="HelveticaNeueLT Std"/>
                <w:b/>
                <w:bCs/>
                <w:sz w:val="18"/>
                <w:szCs w:val="18"/>
              </w:rPr>
              <w:t xml:space="preserve">not </w:t>
            </w:r>
            <w:r w:rsidRPr="00155B48">
              <w:rPr>
                <w:rFonts w:cs="HelveticaNeueLT Std"/>
                <w:b/>
                <w:bCs/>
                <w:sz w:val="18"/>
                <w:szCs w:val="18"/>
              </w:rPr>
              <w:t>achieved.</w:t>
            </w:r>
          </w:p>
          <w:p w14:paraId="7C562385" w14:textId="1D95B74C" w:rsidR="00155B48" w:rsidRPr="00155B48" w:rsidRDefault="00155B48" w:rsidP="00155B48">
            <w:pPr>
              <w:rPr>
                <w:rFonts w:cs="HelveticaNeueLT Std"/>
                <w:b/>
                <w:bCs/>
                <w:sz w:val="18"/>
                <w:szCs w:val="18"/>
              </w:rPr>
            </w:pPr>
            <w:r w:rsidRPr="00155B48">
              <w:rPr>
                <w:sz w:val="18"/>
                <w:szCs w:val="18"/>
              </w:rPr>
              <w:t>This target was not met as depreciation increased significantly in comparison to the renewals budget due to increased depreciation arising from increased asset revaluations.</w:t>
            </w:r>
          </w:p>
        </w:tc>
      </w:tr>
      <w:tr w:rsidR="00155B48" w:rsidRPr="00E641B6" w14:paraId="776BBDA9" w14:textId="77777777" w:rsidTr="00B738E2">
        <w:trPr>
          <w:cantSplit/>
          <w:trHeight w:val="15"/>
        </w:trPr>
        <w:tc>
          <w:tcPr>
            <w:tcW w:w="1838" w:type="dxa"/>
            <w:shd w:val="clear" w:color="auto" w:fill="FFFFFF" w:themeFill="background1"/>
          </w:tcPr>
          <w:p w14:paraId="4DB6E40F" w14:textId="13A5972F" w:rsidR="00155B48" w:rsidRPr="00155B48" w:rsidRDefault="00155B48" w:rsidP="00155B48">
            <w:pPr>
              <w:rPr>
                <w:sz w:val="18"/>
                <w:szCs w:val="18"/>
              </w:rPr>
            </w:pPr>
            <w:r w:rsidRPr="00155B48">
              <w:rPr>
                <w:sz w:val="18"/>
                <w:szCs w:val="18"/>
              </w:rPr>
              <w:t>Rates per rating unit.</w:t>
            </w:r>
          </w:p>
        </w:tc>
        <w:tc>
          <w:tcPr>
            <w:tcW w:w="1361" w:type="dxa"/>
            <w:shd w:val="clear" w:color="auto" w:fill="FFFFFF" w:themeFill="background1"/>
          </w:tcPr>
          <w:p w14:paraId="7C57E98A" w14:textId="52A59EDE" w:rsidR="00155B48" w:rsidRPr="00155B48" w:rsidRDefault="00155B48" w:rsidP="00155B48">
            <w:pPr>
              <w:rPr>
                <w:sz w:val="18"/>
                <w:szCs w:val="18"/>
              </w:rPr>
            </w:pPr>
            <w:r w:rsidRPr="00155B48">
              <w:rPr>
                <w:sz w:val="18"/>
                <w:szCs w:val="18"/>
              </w:rPr>
              <w:t>$3,946</w:t>
            </w:r>
          </w:p>
        </w:tc>
        <w:tc>
          <w:tcPr>
            <w:tcW w:w="1361" w:type="dxa"/>
            <w:shd w:val="clear" w:color="auto" w:fill="FFFFFF" w:themeFill="background1"/>
          </w:tcPr>
          <w:p w14:paraId="53A74805" w14:textId="36CC9EB7" w:rsidR="00155B48" w:rsidRPr="00155B48" w:rsidRDefault="00155B48" w:rsidP="00155B48">
            <w:pPr>
              <w:rPr>
                <w:sz w:val="18"/>
                <w:szCs w:val="18"/>
              </w:rPr>
            </w:pPr>
            <w:r w:rsidRPr="00155B48">
              <w:rPr>
                <w:sz w:val="18"/>
                <w:szCs w:val="18"/>
              </w:rPr>
              <w:t xml:space="preserve">$4,500 (ex </w:t>
            </w:r>
            <w:proofErr w:type="spellStart"/>
            <w:r w:rsidRPr="00155B48">
              <w:rPr>
                <w:sz w:val="18"/>
                <w:szCs w:val="18"/>
              </w:rPr>
              <w:t>gst</w:t>
            </w:r>
            <w:proofErr w:type="spellEnd"/>
            <w:r w:rsidRPr="00155B48">
              <w:rPr>
                <w:sz w:val="18"/>
                <w:szCs w:val="18"/>
              </w:rPr>
              <w:t>)</w:t>
            </w:r>
          </w:p>
        </w:tc>
        <w:tc>
          <w:tcPr>
            <w:tcW w:w="1361" w:type="dxa"/>
            <w:shd w:val="clear" w:color="auto" w:fill="FFFFFF" w:themeFill="background1"/>
          </w:tcPr>
          <w:p w14:paraId="5382CF71" w14:textId="62F193D1" w:rsidR="00155B48" w:rsidRPr="00155B48" w:rsidRDefault="00155B48" w:rsidP="00155B48">
            <w:pPr>
              <w:rPr>
                <w:sz w:val="18"/>
                <w:szCs w:val="18"/>
              </w:rPr>
            </w:pPr>
            <w:r w:rsidRPr="00155B48">
              <w:rPr>
                <w:sz w:val="18"/>
                <w:szCs w:val="18"/>
              </w:rPr>
              <w:t>$4,180</w:t>
            </w:r>
          </w:p>
        </w:tc>
        <w:tc>
          <w:tcPr>
            <w:tcW w:w="3651" w:type="dxa"/>
            <w:shd w:val="clear" w:color="auto" w:fill="FFFFFF" w:themeFill="background1"/>
          </w:tcPr>
          <w:p w14:paraId="6EA10656" w14:textId="77777777" w:rsidR="00155B48" w:rsidRPr="00155B48" w:rsidRDefault="00155B48" w:rsidP="00155B48">
            <w:pPr>
              <w:rPr>
                <w:rFonts w:cs="HelveticaNeueLT Std"/>
                <w:b/>
                <w:bCs/>
                <w:sz w:val="18"/>
                <w:szCs w:val="18"/>
              </w:rPr>
            </w:pPr>
            <w:r w:rsidRPr="00155B48">
              <w:rPr>
                <w:rFonts w:cs="HelveticaNeueLT Std"/>
                <w:b/>
                <w:bCs/>
                <w:sz w:val="18"/>
                <w:szCs w:val="18"/>
              </w:rPr>
              <w:t>Target achieved.</w:t>
            </w:r>
          </w:p>
          <w:p w14:paraId="5C5D03E8" w14:textId="68C0A1C0" w:rsidR="00155B48" w:rsidRPr="00155B48" w:rsidRDefault="00155B48" w:rsidP="00155B48">
            <w:pPr>
              <w:rPr>
                <w:rFonts w:cs="HelveticaNeueLT Std"/>
                <w:b/>
                <w:bCs/>
                <w:sz w:val="18"/>
                <w:szCs w:val="18"/>
              </w:rPr>
            </w:pPr>
            <w:r w:rsidRPr="00155B48">
              <w:rPr>
                <w:sz w:val="18"/>
                <w:szCs w:val="18"/>
              </w:rPr>
              <w:t>This target was achieved as the rates increase was set within the limits of this KPI.</w:t>
            </w:r>
          </w:p>
        </w:tc>
      </w:tr>
      <w:tr w:rsidR="00155B48" w:rsidRPr="00E641B6" w14:paraId="0CD0A6B9" w14:textId="77777777" w:rsidTr="00B738E2">
        <w:trPr>
          <w:cantSplit/>
          <w:trHeight w:val="15"/>
        </w:trPr>
        <w:tc>
          <w:tcPr>
            <w:tcW w:w="1838" w:type="dxa"/>
            <w:shd w:val="clear" w:color="auto" w:fill="FFFFFF" w:themeFill="background1"/>
          </w:tcPr>
          <w:p w14:paraId="666C33F9" w14:textId="410A2103" w:rsidR="00155B48" w:rsidRPr="00155B48" w:rsidRDefault="00155B48" w:rsidP="00155B48">
            <w:pPr>
              <w:rPr>
                <w:sz w:val="18"/>
                <w:szCs w:val="18"/>
              </w:rPr>
            </w:pPr>
            <w:r w:rsidRPr="00155B48">
              <w:rPr>
                <w:sz w:val="18"/>
                <w:szCs w:val="18"/>
              </w:rPr>
              <w:t>Net debt per rating unit.</w:t>
            </w:r>
          </w:p>
        </w:tc>
        <w:tc>
          <w:tcPr>
            <w:tcW w:w="1361" w:type="dxa"/>
            <w:shd w:val="clear" w:color="auto" w:fill="FFFFFF" w:themeFill="background1"/>
          </w:tcPr>
          <w:p w14:paraId="6012C2C1" w14:textId="3CA136E6" w:rsidR="00155B48" w:rsidRPr="00155B48" w:rsidRDefault="00155B48" w:rsidP="00155B48">
            <w:pPr>
              <w:rPr>
                <w:sz w:val="18"/>
                <w:szCs w:val="18"/>
              </w:rPr>
            </w:pPr>
            <w:r w:rsidRPr="00155B48">
              <w:rPr>
                <w:sz w:val="18"/>
                <w:szCs w:val="18"/>
              </w:rPr>
              <w:t>$20,677</w:t>
            </w:r>
          </w:p>
        </w:tc>
        <w:tc>
          <w:tcPr>
            <w:tcW w:w="1361" w:type="dxa"/>
            <w:shd w:val="clear" w:color="auto" w:fill="FFFFFF" w:themeFill="background1"/>
          </w:tcPr>
          <w:p w14:paraId="4AC64426" w14:textId="0FC3E1FC" w:rsidR="00155B48" w:rsidRPr="00155B48" w:rsidRDefault="00155B48" w:rsidP="00155B48">
            <w:pPr>
              <w:rPr>
                <w:sz w:val="18"/>
                <w:szCs w:val="18"/>
              </w:rPr>
            </w:pPr>
            <w:r w:rsidRPr="00155B48">
              <w:rPr>
                <w:sz w:val="18"/>
                <w:szCs w:val="18"/>
              </w:rPr>
              <w:t xml:space="preserve">$18,700 (ex </w:t>
            </w:r>
            <w:proofErr w:type="spellStart"/>
            <w:r w:rsidRPr="00155B48">
              <w:rPr>
                <w:sz w:val="18"/>
                <w:szCs w:val="18"/>
              </w:rPr>
              <w:t>gst</w:t>
            </w:r>
            <w:proofErr w:type="spellEnd"/>
            <w:r w:rsidRPr="00155B48">
              <w:rPr>
                <w:sz w:val="18"/>
                <w:szCs w:val="18"/>
              </w:rPr>
              <w:t>)</w:t>
            </w:r>
          </w:p>
        </w:tc>
        <w:tc>
          <w:tcPr>
            <w:tcW w:w="1361" w:type="dxa"/>
            <w:shd w:val="clear" w:color="auto" w:fill="FFFFFF" w:themeFill="background1"/>
          </w:tcPr>
          <w:p w14:paraId="33313E12" w14:textId="68C13E83" w:rsidR="00155B48" w:rsidRPr="00155B48" w:rsidRDefault="00155B48" w:rsidP="00155B48">
            <w:pPr>
              <w:rPr>
                <w:sz w:val="18"/>
                <w:szCs w:val="18"/>
              </w:rPr>
            </w:pPr>
            <w:r w:rsidRPr="00155B48">
              <w:rPr>
                <w:sz w:val="18"/>
                <w:szCs w:val="18"/>
              </w:rPr>
              <w:t>$19,485</w:t>
            </w:r>
          </w:p>
        </w:tc>
        <w:tc>
          <w:tcPr>
            <w:tcW w:w="3651" w:type="dxa"/>
            <w:shd w:val="clear" w:color="auto" w:fill="FFFFFF" w:themeFill="background1"/>
          </w:tcPr>
          <w:p w14:paraId="02669BED" w14:textId="538C74D3" w:rsidR="00155B48" w:rsidRPr="00155B48" w:rsidRDefault="00155B48" w:rsidP="00155B48">
            <w:pPr>
              <w:rPr>
                <w:rFonts w:cs="HelveticaNeueLT Std"/>
                <w:b/>
                <w:bCs/>
                <w:sz w:val="18"/>
                <w:szCs w:val="18"/>
              </w:rPr>
            </w:pPr>
            <w:r w:rsidRPr="00155B48">
              <w:rPr>
                <w:rFonts w:cs="HelveticaNeueLT Std"/>
                <w:b/>
                <w:bCs/>
                <w:sz w:val="18"/>
                <w:szCs w:val="18"/>
              </w:rPr>
              <w:t>Target</w:t>
            </w:r>
            <w:r>
              <w:rPr>
                <w:rFonts w:cs="HelveticaNeueLT Std"/>
                <w:b/>
                <w:bCs/>
                <w:sz w:val="18"/>
                <w:szCs w:val="18"/>
              </w:rPr>
              <w:t xml:space="preserve"> not</w:t>
            </w:r>
            <w:r w:rsidRPr="00155B48">
              <w:rPr>
                <w:rFonts w:cs="HelveticaNeueLT Std"/>
                <w:b/>
                <w:bCs/>
                <w:sz w:val="18"/>
                <w:szCs w:val="18"/>
              </w:rPr>
              <w:t xml:space="preserve"> achieved.</w:t>
            </w:r>
          </w:p>
          <w:p w14:paraId="03271155" w14:textId="588809BF" w:rsidR="00155B48" w:rsidRPr="00155B48" w:rsidRDefault="00155B48" w:rsidP="00155B48">
            <w:pPr>
              <w:rPr>
                <w:rFonts w:cs="HelveticaNeueLT Std"/>
                <w:b/>
                <w:bCs/>
                <w:sz w:val="18"/>
                <w:szCs w:val="18"/>
              </w:rPr>
            </w:pPr>
            <w:r w:rsidRPr="00155B48">
              <w:rPr>
                <w:sz w:val="18"/>
                <w:szCs w:val="18"/>
              </w:rPr>
              <w:t xml:space="preserve">This target was not achieved due to the higher level of borrowings due to delay in sale of land to </w:t>
            </w:r>
            <w:proofErr w:type="spellStart"/>
            <w:r w:rsidRPr="00155B48">
              <w:rPr>
                <w:sz w:val="18"/>
                <w:szCs w:val="18"/>
              </w:rPr>
              <w:t>mid 2026</w:t>
            </w:r>
            <w:proofErr w:type="spellEnd"/>
            <w:r w:rsidRPr="00155B48">
              <w:rPr>
                <w:sz w:val="18"/>
                <w:szCs w:val="18"/>
              </w:rPr>
              <w:t xml:space="preserve">. </w:t>
            </w:r>
          </w:p>
        </w:tc>
      </w:tr>
      <w:tr w:rsidR="00155B48" w:rsidRPr="00E641B6" w14:paraId="71ED3D31" w14:textId="77777777" w:rsidTr="00B738E2">
        <w:trPr>
          <w:cantSplit/>
          <w:trHeight w:val="15"/>
        </w:trPr>
        <w:tc>
          <w:tcPr>
            <w:tcW w:w="1838" w:type="dxa"/>
            <w:shd w:val="clear" w:color="auto" w:fill="FFFFFF" w:themeFill="background1"/>
          </w:tcPr>
          <w:p w14:paraId="6A46B6B9" w14:textId="75EABC46" w:rsidR="00155B48" w:rsidRPr="00155B48" w:rsidRDefault="00155B48" w:rsidP="00155B48">
            <w:pPr>
              <w:rPr>
                <w:sz w:val="18"/>
                <w:szCs w:val="18"/>
              </w:rPr>
            </w:pPr>
            <w:r w:rsidRPr="00155B48">
              <w:rPr>
                <w:sz w:val="18"/>
                <w:szCs w:val="18"/>
              </w:rPr>
              <w:t>Percentage of residents who are satisfied with the steps Council is taking to prepare for and adapt to the effects of climate change.</w:t>
            </w:r>
          </w:p>
        </w:tc>
        <w:tc>
          <w:tcPr>
            <w:tcW w:w="1361" w:type="dxa"/>
            <w:shd w:val="clear" w:color="auto" w:fill="FFFFFF" w:themeFill="background1"/>
          </w:tcPr>
          <w:p w14:paraId="35DCBD69" w14:textId="4945CC1B" w:rsidR="00155B48" w:rsidRPr="00155B48" w:rsidRDefault="00155B48" w:rsidP="00155B48">
            <w:pPr>
              <w:rPr>
                <w:sz w:val="18"/>
                <w:szCs w:val="18"/>
              </w:rPr>
            </w:pPr>
            <w:r w:rsidRPr="00155B48">
              <w:rPr>
                <w:sz w:val="18"/>
                <w:szCs w:val="18"/>
              </w:rPr>
              <w:t>New Measure</w:t>
            </w:r>
          </w:p>
        </w:tc>
        <w:tc>
          <w:tcPr>
            <w:tcW w:w="1361" w:type="dxa"/>
            <w:shd w:val="clear" w:color="auto" w:fill="FFFFFF" w:themeFill="background1"/>
          </w:tcPr>
          <w:p w14:paraId="705B35B1" w14:textId="15B3F942" w:rsidR="00155B48" w:rsidRPr="00155B48" w:rsidRDefault="00155B48" w:rsidP="00155B48">
            <w:pPr>
              <w:rPr>
                <w:sz w:val="18"/>
                <w:szCs w:val="18"/>
              </w:rPr>
            </w:pPr>
            <w:r w:rsidRPr="00155B48">
              <w:rPr>
                <w:sz w:val="18"/>
                <w:szCs w:val="18"/>
              </w:rPr>
              <w:t>Year-on-year improvement</w:t>
            </w:r>
          </w:p>
        </w:tc>
        <w:tc>
          <w:tcPr>
            <w:tcW w:w="1361" w:type="dxa"/>
            <w:shd w:val="clear" w:color="auto" w:fill="FFFFFF" w:themeFill="background1"/>
          </w:tcPr>
          <w:p w14:paraId="7627AB41" w14:textId="346E1D76" w:rsidR="00155B48" w:rsidRPr="00155B48" w:rsidRDefault="00155B48" w:rsidP="00155B48">
            <w:pPr>
              <w:rPr>
                <w:sz w:val="18"/>
                <w:szCs w:val="18"/>
              </w:rPr>
            </w:pPr>
            <w:r w:rsidRPr="00155B48">
              <w:rPr>
                <w:sz w:val="18"/>
                <w:szCs w:val="18"/>
              </w:rPr>
              <w:t>18%</w:t>
            </w:r>
          </w:p>
        </w:tc>
        <w:tc>
          <w:tcPr>
            <w:tcW w:w="3651" w:type="dxa"/>
            <w:shd w:val="clear" w:color="auto" w:fill="FFFFFF" w:themeFill="background1"/>
          </w:tcPr>
          <w:p w14:paraId="327D0CF3" w14:textId="77777777" w:rsidR="00155B48" w:rsidRPr="00155B48" w:rsidRDefault="00155B48" w:rsidP="00155B48">
            <w:pPr>
              <w:rPr>
                <w:rFonts w:cs="HelveticaNeueLT Std"/>
                <w:b/>
                <w:bCs/>
                <w:sz w:val="18"/>
                <w:szCs w:val="18"/>
              </w:rPr>
            </w:pPr>
            <w:r w:rsidRPr="00155B48">
              <w:rPr>
                <w:rFonts w:cs="HelveticaNeueLT Std"/>
                <w:b/>
                <w:bCs/>
                <w:sz w:val="18"/>
                <w:szCs w:val="18"/>
              </w:rPr>
              <w:t>Target achieved.</w:t>
            </w:r>
          </w:p>
          <w:p w14:paraId="756FB09F" w14:textId="77777777" w:rsidR="00155B48" w:rsidRPr="00155B48" w:rsidRDefault="00155B48" w:rsidP="00155B48">
            <w:pPr>
              <w:rPr>
                <w:sz w:val="18"/>
                <w:szCs w:val="18"/>
              </w:rPr>
            </w:pPr>
            <w:r w:rsidRPr="00155B48">
              <w:rPr>
                <w:sz w:val="18"/>
                <w:szCs w:val="18"/>
              </w:rPr>
              <w:t xml:space="preserve">This is a new measure, and this result will be used to measure progress year-on-year. </w:t>
            </w:r>
          </w:p>
          <w:p w14:paraId="6AE1C270" w14:textId="0ABC50AD" w:rsidR="00155B48" w:rsidRPr="00155B48" w:rsidRDefault="00155B48" w:rsidP="00155B48">
            <w:pPr>
              <w:rPr>
                <w:rFonts w:cs="HelveticaNeueLT Std"/>
                <w:b/>
                <w:bCs/>
                <w:sz w:val="18"/>
                <w:szCs w:val="18"/>
              </w:rPr>
            </w:pPr>
            <w:r w:rsidRPr="00155B48">
              <w:rPr>
                <w:sz w:val="18"/>
                <w:szCs w:val="18"/>
              </w:rPr>
              <w:t>QLDC’s next Climate &amp; Biodiversity Plan 2025-2028 has actions to undertake a climate scenario analysis and proactively manage climate-related risks to the district while identifying opportunities for adaptation and resilience.</w:t>
            </w:r>
          </w:p>
        </w:tc>
      </w:tr>
      <w:tr w:rsidR="00155B48" w:rsidRPr="00E641B6" w14:paraId="624F7C2B" w14:textId="77777777" w:rsidTr="00B738E2">
        <w:trPr>
          <w:cantSplit/>
          <w:trHeight w:val="15"/>
        </w:trPr>
        <w:tc>
          <w:tcPr>
            <w:tcW w:w="1838" w:type="dxa"/>
            <w:shd w:val="clear" w:color="auto" w:fill="FFFFFF" w:themeFill="background1"/>
          </w:tcPr>
          <w:p w14:paraId="30D87DB2" w14:textId="2E22B2A7" w:rsidR="00155B48" w:rsidRPr="00155B48" w:rsidRDefault="00155B48" w:rsidP="00155B48">
            <w:pPr>
              <w:rPr>
                <w:sz w:val="18"/>
                <w:szCs w:val="18"/>
              </w:rPr>
            </w:pPr>
            <w:r w:rsidRPr="00155B48">
              <w:rPr>
                <w:sz w:val="18"/>
                <w:szCs w:val="18"/>
              </w:rPr>
              <w:t>Percentage of residents who are satisfied with the steps Council is taking to reduce the district’s greenhouse gas emissions.</w:t>
            </w:r>
          </w:p>
        </w:tc>
        <w:tc>
          <w:tcPr>
            <w:tcW w:w="1361" w:type="dxa"/>
            <w:shd w:val="clear" w:color="auto" w:fill="FFFFFF" w:themeFill="background1"/>
          </w:tcPr>
          <w:p w14:paraId="7C5ADB0B" w14:textId="042C7455" w:rsidR="00155B48" w:rsidRPr="00155B48" w:rsidRDefault="00155B48" w:rsidP="00155B48">
            <w:pPr>
              <w:rPr>
                <w:sz w:val="18"/>
                <w:szCs w:val="18"/>
              </w:rPr>
            </w:pPr>
            <w:r w:rsidRPr="00155B48">
              <w:rPr>
                <w:sz w:val="18"/>
                <w:szCs w:val="18"/>
              </w:rPr>
              <w:t>14%</w:t>
            </w:r>
          </w:p>
        </w:tc>
        <w:tc>
          <w:tcPr>
            <w:tcW w:w="1361" w:type="dxa"/>
            <w:shd w:val="clear" w:color="auto" w:fill="FFFFFF" w:themeFill="background1"/>
          </w:tcPr>
          <w:p w14:paraId="44923CD7" w14:textId="3877952E" w:rsidR="00155B48" w:rsidRPr="00155B48" w:rsidRDefault="00155B48" w:rsidP="00155B48">
            <w:pPr>
              <w:rPr>
                <w:sz w:val="18"/>
                <w:szCs w:val="18"/>
              </w:rPr>
            </w:pPr>
            <w:r w:rsidRPr="00155B48">
              <w:rPr>
                <w:sz w:val="18"/>
                <w:szCs w:val="18"/>
              </w:rPr>
              <w:t>Year-on-year improvement</w:t>
            </w:r>
          </w:p>
        </w:tc>
        <w:tc>
          <w:tcPr>
            <w:tcW w:w="1361" w:type="dxa"/>
            <w:shd w:val="clear" w:color="auto" w:fill="FFFFFF" w:themeFill="background1"/>
          </w:tcPr>
          <w:p w14:paraId="3934EA15" w14:textId="5EA2D74E" w:rsidR="00155B48" w:rsidRPr="00155B48" w:rsidRDefault="00155B48" w:rsidP="00155B48">
            <w:pPr>
              <w:rPr>
                <w:sz w:val="18"/>
                <w:szCs w:val="18"/>
              </w:rPr>
            </w:pPr>
            <w:r w:rsidRPr="00155B48">
              <w:rPr>
                <w:sz w:val="18"/>
                <w:szCs w:val="18"/>
              </w:rPr>
              <w:t>22%</w:t>
            </w:r>
          </w:p>
        </w:tc>
        <w:tc>
          <w:tcPr>
            <w:tcW w:w="3651" w:type="dxa"/>
            <w:shd w:val="clear" w:color="auto" w:fill="FFFFFF" w:themeFill="background1"/>
          </w:tcPr>
          <w:p w14:paraId="1829B15E" w14:textId="77777777" w:rsidR="00155B48" w:rsidRPr="00155B48" w:rsidRDefault="00155B48" w:rsidP="00155B48">
            <w:pPr>
              <w:rPr>
                <w:rFonts w:cs="HelveticaNeueLT Std"/>
                <w:b/>
                <w:bCs/>
                <w:sz w:val="18"/>
                <w:szCs w:val="18"/>
              </w:rPr>
            </w:pPr>
            <w:r w:rsidRPr="00155B48">
              <w:rPr>
                <w:rFonts w:cs="HelveticaNeueLT Std"/>
                <w:b/>
                <w:bCs/>
                <w:sz w:val="18"/>
                <w:szCs w:val="18"/>
              </w:rPr>
              <w:t>Target achieved.</w:t>
            </w:r>
          </w:p>
          <w:p w14:paraId="3E0509A3" w14:textId="282AC41F" w:rsidR="00155B48" w:rsidRPr="00155B48" w:rsidRDefault="00155B48" w:rsidP="00155B48">
            <w:pPr>
              <w:rPr>
                <w:rFonts w:cs="HelveticaNeueLT Std"/>
                <w:b/>
                <w:bCs/>
                <w:sz w:val="18"/>
                <w:szCs w:val="18"/>
              </w:rPr>
            </w:pPr>
            <w:r w:rsidRPr="00155B48">
              <w:rPr>
                <w:sz w:val="18"/>
                <w:szCs w:val="18"/>
              </w:rPr>
              <w:t xml:space="preserve">QLDC’s next Climate &amp; Biodiversity Plan 2025-2028 includes targeted investments and initiatives to reduce Council greenhouse gas emissions. These include the LPG conversion of Council aquatics centres, continued electrification of Council’s fleet vehicles, and energy efficiency improvements for Council’s buildings and community facilities. </w:t>
            </w:r>
          </w:p>
        </w:tc>
      </w:tr>
      <w:tr w:rsidR="00155B48" w:rsidRPr="00E641B6" w14:paraId="31DDE41D" w14:textId="77777777" w:rsidTr="00B738E2">
        <w:trPr>
          <w:cantSplit/>
          <w:trHeight w:val="15"/>
        </w:trPr>
        <w:tc>
          <w:tcPr>
            <w:tcW w:w="1838" w:type="dxa"/>
            <w:shd w:val="clear" w:color="auto" w:fill="FFFFFF" w:themeFill="background1"/>
          </w:tcPr>
          <w:p w14:paraId="6579F4DE" w14:textId="0BB2AB9D" w:rsidR="00155B48" w:rsidRPr="00155B48" w:rsidRDefault="00155B48" w:rsidP="00155B48">
            <w:pPr>
              <w:rPr>
                <w:sz w:val="18"/>
                <w:szCs w:val="18"/>
              </w:rPr>
            </w:pPr>
            <w:r w:rsidRPr="00155B48">
              <w:rPr>
                <w:sz w:val="18"/>
                <w:szCs w:val="18"/>
              </w:rPr>
              <w:lastRenderedPageBreak/>
              <w:t>Percentage of residents who are satisfied with the steps council is taking to help protect and restore the district’s biodiversity.</w:t>
            </w:r>
          </w:p>
        </w:tc>
        <w:tc>
          <w:tcPr>
            <w:tcW w:w="1361" w:type="dxa"/>
            <w:shd w:val="clear" w:color="auto" w:fill="FFFFFF" w:themeFill="background1"/>
          </w:tcPr>
          <w:p w14:paraId="12B3C8DC" w14:textId="606E4B0C" w:rsidR="00155B48" w:rsidRPr="00155B48" w:rsidRDefault="00155B48" w:rsidP="00155B48">
            <w:pPr>
              <w:rPr>
                <w:sz w:val="18"/>
                <w:szCs w:val="18"/>
              </w:rPr>
            </w:pPr>
            <w:r w:rsidRPr="00155B48">
              <w:rPr>
                <w:sz w:val="18"/>
                <w:szCs w:val="18"/>
              </w:rPr>
              <w:t>New Measure</w:t>
            </w:r>
          </w:p>
        </w:tc>
        <w:tc>
          <w:tcPr>
            <w:tcW w:w="1361" w:type="dxa"/>
            <w:shd w:val="clear" w:color="auto" w:fill="FFFFFF" w:themeFill="background1"/>
          </w:tcPr>
          <w:p w14:paraId="162D5C18" w14:textId="0242013A" w:rsidR="00155B48" w:rsidRPr="00155B48" w:rsidRDefault="00155B48" w:rsidP="00155B48">
            <w:pPr>
              <w:rPr>
                <w:sz w:val="18"/>
                <w:szCs w:val="18"/>
              </w:rPr>
            </w:pPr>
            <w:r w:rsidRPr="00155B48">
              <w:rPr>
                <w:sz w:val="18"/>
                <w:szCs w:val="18"/>
              </w:rPr>
              <w:t>Year-on-year improvement</w:t>
            </w:r>
          </w:p>
        </w:tc>
        <w:tc>
          <w:tcPr>
            <w:tcW w:w="1361" w:type="dxa"/>
            <w:shd w:val="clear" w:color="auto" w:fill="FFFFFF" w:themeFill="background1"/>
          </w:tcPr>
          <w:p w14:paraId="6532B2B9" w14:textId="3935B6D5" w:rsidR="00155B48" w:rsidRPr="00155B48" w:rsidRDefault="00155B48" w:rsidP="00155B48">
            <w:pPr>
              <w:rPr>
                <w:sz w:val="18"/>
                <w:szCs w:val="18"/>
              </w:rPr>
            </w:pPr>
            <w:r w:rsidRPr="00155B48">
              <w:rPr>
                <w:sz w:val="18"/>
                <w:szCs w:val="18"/>
              </w:rPr>
              <w:t>36%</w:t>
            </w:r>
          </w:p>
        </w:tc>
        <w:tc>
          <w:tcPr>
            <w:tcW w:w="3651" w:type="dxa"/>
            <w:shd w:val="clear" w:color="auto" w:fill="FFFFFF" w:themeFill="background1"/>
          </w:tcPr>
          <w:p w14:paraId="087164D9" w14:textId="77777777" w:rsidR="00155B48" w:rsidRPr="00155B48" w:rsidRDefault="00155B48" w:rsidP="00155B48">
            <w:pPr>
              <w:rPr>
                <w:rFonts w:cs="HelveticaNeueLT Std"/>
                <w:b/>
                <w:bCs/>
                <w:sz w:val="18"/>
                <w:szCs w:val="18"/>
              </w:rPr>
            </w:pPr>
            <w:r w:rsidRPr="00155B48">
              <w:rPr>
                <w:rFonts w:cs="HelveticaNeueLT Std"/>
                <w:b/>
                <w:bCs/>
                <w:sz w:val="18"/>
                <w:szCs w:val="18"/>
              </w:rPr>
              <w:t>Target achieved.</w:t>
            </w:r>
          </w:p>
          <w:p w14:paraId="3DE800BF" w14:textId="77777777" w:rsidR="00155B48" w:rsidRDefault="00155B48" w:rsidP="00155B48">
            <w:pPr>
              <w:rPr>
                <w:sz w:val="18"/>
                <w:szCs w:val="18"/>
              </w:rPr>
            </w:pPr>
            <w:r w:rsidRPr="00155B48">
              <w:rPr>
                <w:sz w:val="18"/>
                <w:szCs w:val="18"/>
              </w:rPr>
              <w:t xml:space="preserve">This is a new measure, and this result will be used to measure progress year-on-year. </w:t>
            </w:r>
          </w:p>
          <w:p w14:paraId="64FF5146" w14:textId="12861BDF" w:rsidR="00155B48" w:rsidRPr="00155B48" w:rsidRDefault="00155B48" w:rsidP="00155B48">
            <w:pPr>
              <w:rPr>
                <w:rFonts w:cs="HelveticaNeueLT Std"/>
                <w:b/>
                <w:bCs/>
                <w:sz w:val="18"/>
                <w:szCs w:val="18"/>
              </w:rPr>
            </w:pPr>
            <w:r w:rsidRPr="00155B48">
              <w:rPr>
                <w:sz w:val="18"/>
                <w:szCs w:val="18"/>
              </w:rPr>
              <w:t xml:space="preserve">In autumn 2025, the first 80,000 native plants were planted of more than 500,000 planned for Project Tohu, the site of Coronet Forest. QLDC has also undertaken significant weed clearance and revegetation work at Council reserves including </w:t>
            </w:r>
            <w:proofErr w:type="spellStart"/>
            <w:r w:rsidRPr="00155B48">
              <w:rPr>
                <w:sz w:val="18"/>
                <w:szCs w:val="18"/>
              </w:rPr>
              <w:t>Matakauri</w:t>
            </w:r>
            <w:proofErr w:type="spellEnd"/>
            <w:r w:rsidRPr="00155B48">
              <w:rPr>
                <w:sz w:val="18"/>
                <w:szCs w:val="18"/>
              </w:rPr>
              <w:t xml:space="preserve"> Wetland, Horne Creek in Warren Park, Bullock Creek and lakeside reserves between the </w:t>
            </w:r>
            <w:proofErr w:type="spellStart"/>
            <w:r w:rsidRPr="00155B48">
              <w:rPr>
                <w:sz w:val="18"/>
                <w:szCs w:val="18"/>
              </w:rPr>
              <w:t>Wānaka</w:t>
            </w:r>
            <w:proofErr w:type="spellEnd"/>
            <w:r w:rsidRPr="00155B48">
              <w:rPr>
                <w:sz w:val="18"/>
                <w:szCs w:val="18"/>
              </w:rPr>
              <w:t xml:space="preserve"> Yacht club and Eely Point. QLDC also supports 72 community-led planting projects on reserves around the district including in </w:t>
            </w:r>
            <w:proofErr w:type="spellStart"/>
            <w:r w:rsidRPr="00155B48">
              <w:rPr>
                <w:sz w:val="18"/>
                <w:szCs w:val="18"/>
              </w:rPr>
              <w:t>Wānaka</w:t>
            </w:r>
            <w:proofErr w:type="spellEnd"/>
            <w:r w:rsidRPr="00155B48">
              <w:rPr>
                <w:sz w:val="18"/>
                <w:szCs w:val="18"/>
              </w:rPr>
              <w:t xml:space="preserve">, Hāwea, Albert Town, Lake Hayes, Arrowtown, Quail Rise, Lake Hayes Estate, Kelvin Peninsula, and </w:t>
            </w:r>
            <w:proofErr w:type="spellStart"/>
            <w:r w:rsidRPr="00155B48">
              <w:rPr>
                <w:sz w:val="18"/>
                <w:szCs w:val="18"/>
              </w:rPr>
              <w:t>Glenorchy</w:t>
            </w:r>
            <w:proofErr w:type="spellEnd"/>
            <w:r w:rsidRPr="00155B48">
              <w:rPr>
                <w:sz w:val="18"/>
                <w:szCs w:val="18"/>
              </w:rPr>
              <w:t>.</w:t>
            </w:r>
          </w:p>
        </w:tc>
      </w:tr>
      <w:tr w:rsidR="00155B48" w:rsidRPr="00E641B6" w14:paraId="6B77CAC9" w14:textId="77777777" w:rsidTr="00B738E2">
        <w:trPr>
          <w:cantSplit/>
          <w:trHeight w:val="15"/>
        </w:trPr>
        <w:tc>
          <w:tcPr>
            <w:tcW w:w="1838" w:type="dxa"/>
            <w:shd w:val="clear" w:color="auto" w:fill="FFFFFF" w:themeFill="background1"/>
          </w:tcPr>
          <w:p w14:paraId="033F44A2" w14:textId="7B0CD06E" w:rsidR="00155B48" w:rsidRPr="00155B48" w:rsidRDefault="00155B48" w:rsidP="00155B48">
            <w:pPr>
              <w:rPr>
                <w:sz w:val="18"/>
                <w:szCs w:val="18"/>
              </w:rPr>
            </w:pPr>
            <w:r w:rsidRPr="00155B48">
              <w:rPr>
                <w:sz w:val="18"/>
                <w:szCs w:val="18"/>
              </w:rPr>
              <w:t>Achieve annual carbon reduction certification through independent third-party audit.</w:t>
            </w:r>
          </w:p>
        </w:tc>
        <w:tc>
          <w:tcPr>
            <w:tcW w:w="1361" w:type="dxa"/>
            <w:shd w:val="clear" w:color="auto" w:fill="FFFFFF" w:themeFill="background1"/>
          </w:tcPr>
          <w:p w14:paraId="2D38A663" w14:textId="35A50EA3" w:rsidR="00155B48" w:rsidRPr="00155B48" w:rsidRDefault="00155B48" w:rsidP="00155B48">
            <w:pPr>
              <w:rPr>
                <w:sz w:val="18"/>
                <w:szCs w:val="18"/>
              </w:rPr>
            </w:pPr>
            <w:r w:rsidRPr="00155B48">
              <w:rPr>
                <w:sz w:val="18"/>
                <w:szCs w:val="18"/>
              </w:rPr>
              <w:t>Updated Measure</w:t>
            </w:r>
          </w:p>
        </w:tc>
        <w:tc>
          <w:tcPr>
            <w:tcW w:w="1361" w:type="dxa"/>
            <w:shd w:val="clear" w:color="auto" w:fill="FFFFFF" w:themeFill="background1"/>
          </w:tcPr>
          <w:p w14:paraId="7153F764" w14:textId="182F54AA" w:rsidR="00155B48" w:rsidRPr="00155B48" w:rsidRDefault="00155B48" w:rsidP="00155B48">
            <w:pPr>
              <w:rPr>
                <w:sz w:val="18"/>
                <w:szCs w:val="18"/>
              </w:rPr>
            </w:pPr>
            <w:r w:rsidRPr="00155B48">
              <w:rPr>
                <w:sz w:val="18"/>
                <w:szCs w:val="18"/>
              </w:rPr>
              <w:t>Achieved</w:t>
            </w:r>
          </w:p>
        </w:tc>
        <w:tc>
          <w:tcPr>
            <w:tcW w:w="1361" w:type="dxa"/>
            <w:shd w:val="clear" w:color="auto" w:fill="FFFFFF" w:themeFill="background1"/>
          </w:tcPr>
          <w:p w14:paraId="3D46BD90" w14:textId="6ACFC23D" w:rsidR="00155B48" w:rsidRPr="00155B48" w:rsidRDefault="00155B48" w:rsidP="00155B48">
            <w:pPr>
              <w:rPr>
                <w:sz w:val="18"/>
                <w:szCs w:val="18"/>
              </w:rPr>
            </w:pPr>
            <w:r w:rsidRPr="00155B48">
              <w:rPr>
                <w:sz w:val="18"/>
                <w:szCs w:val="18"/>
              </w:rPr>
              <w:t>Achieved</w:t>
            </w:r>
          </w:p>
        </w:tc>
        <w:tc>
          <w:tcPr>
            <w:tcW w:w="3651" w:type="dxa"/>
            <w:shd w:val="clear" w:color="auto" w:fill="FFFFFF" w:themeFill="background1"/>
          </w:tcPr>
          <w:p w14:paraId="01369AEC" w14:textId="77777777" w:rsidR="00155B48" w:rsidRPr="00155B48" w:rsidRDefault="00155B48" w:rsidP="00155B48">
            <w:pPr>
              <w:rPr>
                <w:rFonts w:cs="HelveticaNeueLT Std"/>
                <w:b/>
                <w:bCs/>
                <w:sz w:val="18"/>
                <w:szCs w:val="18"/>
              </w:rPr>
            </w:pPr>
            <w:r w:rsidRPr="00155B48">
              <w:rPr>
                <w:rFonts w:cs="HelveticaNeueLT Std"/>
                <w:b/>
                <w:bCs/>
                <w:sz w:val="18"/>
                <w:szCs w:val="18"/>
              </w:rPr>
              <w:t>Target achieved.</w:t>
            </w:r>
          </w:p>
          <w:p w14:paraId="5DE313B4" w14:textId="3F5B9F1D" w:rsidR="00155B48" w:rsidRPr="00155B48" w:rsidRDefault="00155B48" w:rsidP="00155B48">
            <w:pPr>
              <w:rPr>
                <w:rFonts w:cs="HelveticaNeueLT Std"/>
                <w:b/>
                <w:bCs/>
                <w:sz w:val="18"/>
                <w:szCs w:val="18"/>
              </w:rPr>
            </w:pPr>
            <w:r w:rsidRPr="00155B48">
              <w:rPr>
                <w:sz w:val="18"/>
                <w:szCs w:val="18"/>
              </w:rPr>
              <w:t xml:space="preserve">QLDC successfully completed its sixth year of </w:t>
            </w:r>
            <w:proofErr w:type="spellStart"/>
            <w:r w:rsidRPr="00155B48">
              <w:rPr>
                <w:sz w:val="18"/>
                <w:szCs w:val="18"/>
              </w:rPr>
              <w:t>Toitū</w:t>
            </w:r>
            <w:proofErr w:type="spellEnd"/>
            <w:r w:rsidRPr="00155B48">
              <w:rPr>
                <w:sz w:val="18"/>
                <w:szCs w:val="18"/>
              </w:rPr>
              <w:t xml:space="preserve"> Carbon Reduce certification in March 2025 following independent verification of the 2023-2024 greenhouse gas inventory. Category 1 (excluding wastewater and forestry) and Category 2 emissions were 6% lower than the 2018-19 base year. </w:t>
            </w:r>
          </w:p>
        </w:tc>
      </w:tr>
      <w:tr w:rsidR="00155B48" w:rsidRPr="00E641B6" w14:paraId="3D91DD8A" w14:textId="77777777" w:rsidTr="00B738E2">
        <w:trPr>
          <w:cantSplit/>
          <w:trHeight w:val="15"/>
        </w:trPr>
        <w:tc>
          <w:tcPr>
            <w:tcW w:w="1838" w:type="dxa"/>
            <w:shd w:val="clear" w:color="auto" w:fill="FFFFFF" w:themeFill="background1"/>
          </w:tcPr>
          <w:p w14:paraId="015231B8" w14:textId="38F3E63D" w:rsidR="00155B48" w:rsidRPr="00155B48" w:rsidRDefault="00155B48" w:rsidP="00155B48">
            <w:pPr>
              <w:rPr>
                <w:sz w:val="18"/>
                <w:szCs w:val="18"/>
              </w:rPr>
            </w:pPr>
            <w:r w:rsidRPr="00155B48">
              <w:rPr>
                <w:sz w:val="18"/>
                <w:szCs w:val="18"/>
              </w:rPr>
              <w:t>Percentage of QLDC actions delivered to target as per the Implementation Plan of the Climate and Biodiversity Plan.</w:t>
            </w:r>
          </w:p>
        </w:tc>
        <w:tc>
          <w:tcPr>
            <w:tcW w:w="1361" w:type="dxa"/>
            <w:shd w:val="clear" w:color="auto" w:fill="FFFFFF" w:themeFill="background1"/>
          </w:tcPr>
          <w:p w14:paraId="494A0B87" w14:textId="7FD48FAB" w:rsidR="00155B48" w:rsidRPr="00155B48" w:rsidRDefault="00155B48" w:rsidP="00155B48">
            <w:pPr>
              <w:rPr>
                <w:sz w:val="18"/>
                <w:szCs w:val="18"/>
              </w:rPr>
            </w:pPr>
            <w:r w:rsidRPr="00155B48">
              <w:rPr>
                <w:sz w:val="18"/>
                <w:szCs w:val="18"/>
              </w:rPr>
              <w:t>New Measure</w:t>
            </w:r>
          </w:p>
        </w:tc>
        <w:tc>
          <w:tcPr>
            <w:tcW w:w="1361" w:type="dxa"/>
            <w:shd w:val="clear" w:color="auto" w:fill="FFFFFF" w:themeFill="background1"/>
          </w:tcPr>
          <w:p w14:paraId="38A90FEA" w14:textId="18988756" w:rsidR="00155B48" w:rsidRPr="00155B48" w:rsidRDefault="00155B48" w:rsidP="00155B48">
            <w:pPr>
              <w:rPr>
                <w:sz w:val="18"/>
                <w:szCs w:val="18"/>
              </w:rPr>
            </w:pPr>
            <w:r w:rsidRPr="00155B48">
              <w:rPr>
                <w:sz w:val="18"/>
                <w:szCs w:val="18"/>
              </w:rPr>
              <w:t>90%</w:t>
            </w:r>
          </w:p>
        </w:tc>
        <w:tc>
          <w:tcPr>
            <w:tcW w:w="1361" w:type="dxa"/>
            <w:shd w:val="clear" w:color="auto" w:fill="FFFFFF" w:themeFill="background1"/>
          </w:tcPr>
          <w:p w14:paraId="48D44917" w14:textId="2E8CBD98" w:rsidR="00155B48" w:rsidRPr="00155B48" w:rsidRDefault="00155B48" w:rsidP="00155B48">
            <w:pPr>
              <w:rPr>
                <w:sz w:val="18"/>
                <w:szCs w:val="18"/>
              </w:rPr>
            </w:pPr>
            <w:r w:rsidRPr="00155B48">
              <w:rPr>
                <w:sz w:val="18"/>
                <w:szCs w:val="18"/>
              </w:rPr>
              <w:t>95%</w:t>
            </w:r>
          </w:p>
        </w:tc>
        <w:tc>
          <w:tcPr>
            <w:tcW w:w="3651" w:type="dxa"/>
            <w:shd w:val="clear" w:color="auto" w:fill="FFFFFF" w:themeFill="background1"/>
          </w:tcPr>
          <w:p w14:paraId="26E20B28" w14:textId="77777777" w:rsidR="00155B48" w:rsidRPr="00155B48" w:rsidRDefault="00155B48" w:rsidP="00155B48">
            <w:pPr>
              <w:rPr>
                <w:rFonts w:cs="HelveticaNeueLT Std"/>
                <w:b/>
                <w:bCs/>
                <w:sz w:val="18"/>
                <w:szCs w:val="18"/>
              </w:rPr>
            </w:pPr>
            <w:r w:rsidRPr="00155B48">
              <w:rPr>
                <w:rFonts w:cs="HelveticaNeueLT Std"/>
                <w:b/>
                <w:bCs/>
                <w:sz w:val="18"/>
                <w:szCs w:val="18"/>
              </w:rPr>
              <w:t>Target achieved.</w:t>
            </w:r>
          </w:p>
          <w:p w14:paraId="1304E355" w14:textId="68523167" w:rsidR="00155B48" w:rsidRPr="00155B48" w:rsidRDefault="00155B48" w:rsidP="00155B48">
            <w:pPr>
              <w:rPr>
                <w:rFonts w:cs="HelveticaNeueLT Std"/>
                <w:b/>
                <w:bCs/>
                <w:sz w:val="18"/>
                <w:szCs w:val="18"/>
              </w:rPr>
            </w:pPr>
            <w:r w:rsidRPr="00155B48">
              <w:rPr>
                <w:sz w:val="18"/>
                <w:szCs w:val="18"/>
              </w:rPr>
              <w:t>95% of actions from the Climate &amp; Biodiversity Plan were completed or are in progress.</w:t>
            </w:r>
          </w:p>
        </w:tc>
      </w:tr>
    </w:tbl>
    <w:p w14:paraId="3DB6C30D" w14:textId="77777777" w:rsidR="00155B48" w:rsidRPr="00E641B6" w:rsidRDefault="00155B48">
      <w:pPr>
        <w:rPr>
          <w:sz w:val="24"/>
          <w:lang w:val="en-GB"/>
        </w:rPr>
      </w:pPr>
      <w:r w:rsidRPr="00E641B6">
        <w:rPr>
          <w:sz w:val="24"/>
          <w:lang w:val="en-GB"/>
        </w:rPr>
        <w:br w:type="page"/>
      </w:r>
    </w:p>
    <w:p w14:paraId="5619D42F" w14:textId="519387A9" w:rsidR="007B27E4" w:rsidRDefault="00DF6A85" w:rsidP="00DF6A85">
      <w:pPr>
        <w:pStyle w:val="Heading1"/>
        <w:rPr>
          <w:lang w:val="en-GB"/>
        </w:rPr>
      </w:pPr>
      <w:bookmarkStart w:id="51" w:name="_Toc211422663"/>
      <w:r w:rsidRPr="00DF6A85">
        <w:rPr>
          <w:lang w:val="en-GB"/>
        </w:rPr>
        <w:lastRenderedPageBreak/>
        <w:t xml:space="preserve">Financial Statements </w:t>
      </w:r>
      <w:r>
        <w:rPr>
          <w:lang w:val="en-GB"/>
        </w:rPr>
        <w:t xml:space="preserve">| </w:t>
      </w:r>
      <w:proofErr w:type="spellStart"/>
      <w:r w:rsidRPr="00DF6A85">
        <w:rPr>
          <w:lang w:val="en-GB"/>
        </w:rPr>
        <w:t>Kā</w:t>
      </w:r>
      <w:proofErr w:type="spellEnd"/>
      <w:r w:rsidRPr="00DF6A85">
        <w:rPr>
          <w:lang w:val="en-GB"/>
        </w:rPr>
        <w:t xml:space="preserve"> </w:t>
      </w:r>
      <w:proofErr w:type="spellStart"/>
      <w:r w:rsidRPr="00DF6A85">
        <w:rPr>
          <w:lang w:val="en-GB"/>
        </w:rPr>
        <w:t>tauākī</w:t>
      </w:r>
      <w:proofErr w:type="spellEnd"/>
      <w:r w:rsidRPr="00DF6A85">
        <w:rPr>
          <w:lang w:val="en-GB"/>
        </w:rPr>
        <w:t xml:space="preserve"> </w:t>
      </w:r>
      <w:proofErr w:type="spellStart"/>
      <w:r w:rsidRPr="00DF6A85">
        <w:rPr>
          <w:lang w:val="en-GB"/>
        </w:rPr>
        <w:t>ahumoni</w:t>
      </w:r>
      <w:bookmarkEnd w:id="51"/>
      <w:proofErr w:type="spellEnd"/>
    </w:p>
    <w:p w14:paraId="38AD8E54" w14:textId="77777777" w:rsidR="00DF6A85" w:rsidRPr="00DF6A85" w:rsidRDefault="00DF6A85" w:rsidP="00DF6A85">
      <w:pPr>
        <w:pStyle w:val="Heading2"/>
        <w:rPr>
          <w:lang w:val="en-GB"/>
        </w:rPr>
      </w:pPr>
      <w:bookmarkStart w:id="52" w:name="_Toc211422664"/>
      <w:r w:rsidRPr="00DF6A85">
        <w:rPr>
          <w:lang w:val="en-GB"/>
        </w:rPr>
        <w:t>Reporting against our financial strategy</w:t>
      </w:r>
      <w:bookmarkEnd w:id="52"/>
    </w:p>
    <w:p w14:paraId="7539ED2D" w14:textId="77777777" w:rsidR="00DF6A85" w:rsidRPr="00E641B6" w:rsidRDefault="00DF6A85" w:rsidP="00DF6A85">
      <w:pPr>
        <w:rPr>
          <w:sz w:val="24"/>
          <w:lang w:val="en-GB"/>
        </w:rPr>
      </w:pPr>
      <w:r w:rsidRPr="00E641B6">
        <w:rPr>
          <w:sz w:val="24"/>
          <w:lang w:val="en-GB"/>
        </w:rPr>
        <w:t xml:space="preserve">The Financial Strategy is outlined in full in the </w:t>
      </w:r>
      <w:proofErr w:type="gramStart"/>
      <w:r w:rsidRPr="00E641B6">
        <w:rPr>
          <w:sz w:val="24"/>
          <w:lang w:val="en-GB"/>
        </w:rPr>
        <w:t>Long Term</w:t>
      </w:r>
      <w:proofErr w:type="gramEnd"/>
      <w:r w:rsidRPr="00E641B6">
        <w:rPr>
          <w:sz w:val="24"/>
          <w:lang w:val="en-GB"/>
        </w:rPr>
        <w:t xml:space="preserve"> Plan 2024-2034 as a means of demonstrating prudent financial management. It is used as a tool when the Council makes big funding decisions, so that the community can understand the implication of the decision on rates, debt and investments.</w:t>
      </w:r>
    </w:p>
    <w:p w14:paraId="4A4CCE2F" w14:textId="77777777" w:rsidR="00DF6A85" w:rsidRPr="00E641B6" w:rsidRDefault="00DF6A85" w:rsidP="00DF6A85">
      <w:pPr>
        <w:rPr>
          <w:sz w:val="24"/>
          <w:lang w:val="en-GB"/>
        </w:rPr>
      </w:pPr>
      <w:r w:rsidRPr="00E641B6">
        <w:rPr>
          <w:sz w:val="24"/>
          <w:lang w:val="en-GB"/>
        </w:rPr>
        <w:t>The following graphs show how the Council performed against the Financial Strategy in 2024-2025, and comparatives for the previous three years.</w:t>
      </w:r>
    </w:p>
    <w:p w14:paraId="7F8EBE35" w14:textId="77777777" w:rsidR="00DF6A85" w:rsidRPr="00E641B6" w:rsidRDefault="00DF6A85" w:rsidP="00DF6A85">
      <w:pPr>
        <w:rPr>
          <w:sz w:val="24"/>
          <w:lang w:val="en-GB"/>
        </w:rPr>
      </w:pPr>
      <w:r w:rsidRPr="00E641B6">
        <w:rPr>
          <w:sz w:val="24"/>
          <w:lang w:val="en-GB"/>
        </w:rPr>
        <w:t xml:space="preserve">The Financial Strategy describes the challenges that will impact the district over the </w:t>
      </w:r>
      <w:proofErr w:type="gramStart"/>
      <w:r w:rsidRPr="00E641B6">
        <w:rPr>
          <w:sz w:val="24"/>
          <w:lang w:val="en-GB"/>
        </w:rPr>
        <w:t>Long Term</w:t>
      </w:r>
      <w:proofErr w:type="gramEnd"/>
      <w:r w:rsidRPr="00E641B6">
        <w:rPr>
          <w:sz w:val="24"/>
          <w:lang w:val="en-GB"/>
        </w:rPr>
        <w:t xml:space="preserve"> Plan 2024-2034, and how the Council will respond in a responsible and affordable way. The Financial Strategy aims to achieve the following:</w:t>
      </w:r>
    </w:p>
    <w:p w14:paraId="2223EEFE" w14:textId="7FC8FFB0" w:rsidR="00DF6A85" w:rsidRPr="00E641B6" w:rsidRDefault="00DF6A85" w:rsidP="00DF6A85">
      <w:pPr>
        <w:pStyle w:val="ListParagraph"/>
        <w:numPr>
          <w:ilvl w:val="0"/>
          <w:numId w:val="32"/>
        </w:numPr>
        <w:rPr>
          <w:sz w:val="24"/>
          <w:lang w:val="en-GB"/>
        </w:rPr>
      </w:pPr>
      <w:r w:rsidRPr="00E641B6">
        <w:rPr>
          <w:sz w:val="24"/>
          <w:lang w:val="en-GB"/>
        </w:rPr>
        <w:t xml:space="preserve">Prioritised capital programme </w:t>
      </w:r>
    </w:p>
    <w:p w14:paraId="579443F0" w14:textId="6D2C73A0" w:rsidR="00DF6A85" w:rsidRPr="00E641B6" w:rsidRDefault="00DF6A85" w:rsidP="007E4105">
      <w:pPr>
        <w:pStyle w:val="ListParagraph"/>
        <w:numPr>
          <w:ilvl w:val="1"/>
          <w:numId w:val="33"/>
        </w:numPr>
        <w:rPr>
          <w:sz w:val="24"/>
          <w:lang w:val="en-GB"/>
        </w:rPr>
      </w:pPr>
      <w:r w:rsidRPr="00E641B6">
        <w:rPr>
          <w:sz w:val="24"/>
          <w:lang w:val="en-GB"/>
        </w:rPr>
        <w:t xml:space="preserve">delivering the ‘right’ projects </w:t>
      </w:r>
      <w:proofErr w:type="gramStart"/>
      <w:r w:rsidRPr="00E641B6">
        <w:rPr>
          <w:sz w:val="24"/>
          <w:lang w:val="en-GB"/>
        </w:rPr>
        <w:t>in order to</w:t>
      </w:r>
      <w:proofErr w:type="gramEnd"/>
      <w:r w:rsidRPr="00E641B6">
        <w:rPr>
          <w:sz w:val="24"/>
          <w:lang w:val="en-GB"/>
        </w:rPr>
        <w:t xml:space="preserve"> achieve compliance with water supply and wastewater services within statutory deadlines </w:t>
      </w:r>
    </w:p>
    <w:p w14:paraId="6DFF3AD5" w14:textId="6DBFB477" w:rsidR="00DF6A85" w:rsidRPr="00E641B6" w:rsidRDefault="00DF6A85" w:rsidP="007E4105">
      <w:pPr>
        <w:pStyle w:val="ListParagraph"/>
        <w:numPr>
          <w:ilvl w:val="1"/>
          <w:numId w:val="33"/>
        </w:numPr>
        <w:rPr>
          <w:sz w:val="24"/>
          <w:lang w:val="en-GB"/>
        </w:rPr>
      </w:pPr>
      <w:r w:rsidRPr="00E641B6">
        <w:rPr>
          <w:sz w:val="24"/>
          <w:lang w:val="en-GB"/>
        </w:rPr>
        <w:t xml:space="preserve">delivering the ‘right’ projects ahead of growth so that development is supported in areas identified in the Spatial Plan </w:t>
      </w:r>
    </w:p>
    <w:p w14:paraId="7380E5C0" w14:textId="41E8FD59" w:rsidR="00DF6A85" w:rsidRPr="00E641B6" w:rsidRDefault="00DF6A85" w:rsidP="00DF6A85">
      <w:pPr>
        <w:pStyle w:val="ListParagraph"/>
        <w:numPr>
          <w:ilvl w:val="0"/>
          <w:numId w:val="32"/>
        </w:numPr>
        <w:rPr>
          <w:sz w:val="24"/>
          <w:lang w:val="en-GB"/>
        </w:rPr>
      </w:pPr>
      <w:r w:rsidRPr="00E641B6">
        <w:rPr>
          <w:sz w:val="24"/>
          <w:lang w:val="en-GB"/>
        </w:rPr>
        <w:t xml:space="preserve">Alternative funding methods – potential use of the Infrastructure Funding and Financing Act (IFFA) for new growth infrastructure is fully investigated over the next two years and is implemented if found appropriate </w:t>
      </w:r>
    </w:p>
    <w:p w14:paraId="32FAF801" w14:textId="224C1307" w:rsidR="00DF6A85" w:rsidRPr="00E641B6" w:rsidRDefault="00DF6A85" w:rsidP="00DF6A85">
      <w:pPr>
        <w:pStyle w:val="ListParagraph"/>
        <w:numPr>
          <w:ilvl w:val="0"/>
          <w:numId w:val="32"/>
        </w:numPr>
        <w:rPr>
          <w:sz w:val="24"/>
          <w:lang w:val="en-GB"/>
        </w:rPr>
      </w:pPr>
      <w:r w:rsidRPr="00E641B6">
        <w:rPr>
          <w:sz w:val="24"/>
          <w:lang w:val="en-GB"/>
        </w:rPr>
        <w:t xml:space="preserve">Alternative funding methods – the use of Developer Agreements which require higher up-front payments from developers for new growth infrastructure, or for developers to provide trunk infrastructure in exchange for development contribution credits is fully investigated over the next two years and implemented if found to be appropriate </w:t>
      </w:r>
    </w:p>
    <w:p w14:paraId="6108FE93" w14:textId="5B82C942" w:rsidR="00DF6A85" w:rsidRPr="00E641B6" w:rsidRDefault="00DF6A85" w:rsidP="00DF6A85">
      <w:pPr>
        <w:pStyle w:val="ListParagraph"/>
        <w:numPr>
          <w:ilvl w:val="0"/>
          <w:numId w:val="32"/>
        </w:numPr>
        <w:rPr>
          <w:sz w:val="24"/>
          <w:lang w:val="en-GB"/>
        </w:rPr>
      </w:pPr>
      <w:r w:rsidRPr="00E641B6">
        <w:rPr>
          <w:sz w:val="24"/>
          <w:lang w:val="en-GB"/>
        </w:rPr>
        <w:t xml:space="preserve">Rates increases are minimised for the period whilst recognising the need to increase rates and other operating revenue to “balance the budget” and to maintain compliance with borrowing limits </w:t>
      </w:r>
    </w:p>
    <w:p w14:paraId="3CED6E52" w14:textId="77777777" w:rsidR="00DF6A85" w:rsidRPr="00E641B6" w:rsidRDefault="00DF6A85" w:rsidP="00DF6A85">
      <w:pPr>
        <w:pStyle w:val="ListParagraph"/>
        <w:numPr>
          <w:ilvl w:val="0"/>
          <w:numId w:val="32"/>
        </w:numPr>
        <w:rPr>
          <w:sz w:val="24"/>
          <w:lang w:val="en-GB"/>
        </w:rPr>
      </w:pPr>
      <w:r w:rsidRPr="00E641B6">
        <w:rPr>
          <w:sz w:val="24"/>
          <w:lang w:val="en-GB"/>
        </w:rPr>
        <w:t xml:space="preserve">Debt levels are maintained within borrowing limits </w:t>
      </w:r>
    </w:p>
    <w:p w14:paraId="7D917B17" w14:textId="7BAE1DAC" w:rsidR="00DF6A85" w:rsidRPr="00E641B6" w:rsidRDefault="00DF6A85" w:rsidP="00DF6A85">
      <w:pPr>
        <w:pStyle w:val="ListParagraph"/>
        <w:numPr>
          <w:ilvl w:val="0"/>
          <w:numId w:val="32"/>
        </w:numPr>
        <w:rPr>
          <w:sz w:val="24"/>
          <w:lang w:val="en-GB"/>
        </w:rPr>
      </w:pPr>
      <w:r w:rsidRPr="00E641B6">
        <w:rPr>
          <w:sz w:val="24"/>
          <w:lang w:val="en-GB"/>
        </w:rPr>
        <w:t xml:space="preserve">Debt levels at the end of the </w:t>
      </w:r>
      <w:proofErr w:type="gramStart"/>
      <w:r w:rsidRPr="00E641B6">
        <w:rPr>
          <w:sz w:val="24"/>
          <w:lang w:val="en-GB"/>
        </w:rPr>
        <w:t>10 year</w:t>
      </w:r>
      <w:proofErr w:type="gramEnd"/>
      <w:r w:rsidRPr="00E641B6">
        <w:rPr>
          <w:sz w:val="24"/>
          <w:lang w:val="en-GB"/>
        </w:rPr>
        <w:t xml:space="preserve"> period have stabilised </w:t>
      </w:r>
    </w:p>
    <w:p w14:paraId="512C2F45" w14:textId="61B5402D" w:rsidR="00DF6A85" w:rsidRPr="00E641B6" w:rsidRDefault="00DF6A85" w:rsidP="00DF6A85">
      <w:pPr>
        <w:pStyle w:val="ListParagraph"/>
        <w:numPr>
          <w:ilvl w:val="0"/>
          <w:numId w:val="32"/>
        </w:numPr>
        <w:rPr>
          <w:sz w:val="24"/>
          <w:lang w:val="en-GB"/>
        </w:rPr>
      </w:pPr>
      <w:r w:rsidRPr="00E641B6">
        <w:rPr>
          <w:sz w:val="24"/>
          <w:lang w:val="en-GB"/>
        </w:rPr>
        <w:t>Excellent service continues to be provided within financial constraints.</w:t>
      </w:r>
    </w:p>
    <w:p w14:paraId="10C0652F" w14:textId="69C1881C" w:rsidR="00DF6A85" w:rsidRPr="00E641B6" w:rsidRDefault="00DF6A85" w:rsidP="00DF6A85">
      <w:pPr>
        <w:rPr>
          <w:sz w:val="24"/>
          <w:lang w:val="en-GB"/>
        </w:rPr>
      </w:pPr>
      <w:r w:rsidRPr="00E641B6">
        <w:rPr>
          <w:sz w:val="24"/>
          <w:lang w:val="en-GB"/>
        </w:rPr>
        <w:t xml:space="preserve">The graph below shows that the actual spend on capital projects has increased in recent years. This has been due to some large projects including the Queenstown Arterial Upgrade (partly Crown Infrastructure Partners funded), Project </w:t>
      </w:r>
      <w:proofErr w:type="spellStart"/>
      <w:r w:rsidRPr="00E641B6">
        <w:rPr>
          <w:sz w:val="24"/>
          <w:lang w:val="en-GB"/>
        </w:rPr>
        <w:t>Shotover</w:t>
      </w:r>
      <w:proofErr w:type="spellEnd"/>
      <w:r w:rsidRPr="00E641B6">
        <w:rPr>
          <w:sz w:val="24"/>
          <w:lang w:val="en-GB"/>
        </w:rPr>
        <w:t xml:space="preserve"> Wastewater plant upgrade and the new Cardrona Water Supply Scheme as well as other upgrades in Transport and Three Waters infrastructure. The actual capital expenditure in 2024/25 was $129.7</w:t>
      </w:r>
      <w:r w:rsidR="00763425" w:rsidRPr="00E641B6">
        <w:rPr>
          <w:sz w:val="24"/>
          <w:lang w:val="en-GB"/>
        </w:rPr>
        <w:t>m</w:t>
      </w:r>
      <w:r w:rsidRPr="00E641B6">
        <w:rPr>
          <w:sz w:val="24"/>
          <w:lang w:val="en-GB"/>
        </w:rPr>
        <w:t xml:space="preserve">, which was 88% of the adjusted budget of $146.7M as </w:t>
      </w:r>
      <w:proofErr w:type="gramStart"/>
      <w:r w:rsidRPr="00E641B6">
        <w:rPr>
          <w:sz w:val="24"/>
          <w:lang w:val="en-GB"/>
        </w:rPr>
        <w:t>at</w:t>
      </w:r>
      <w:proofErr w:type="gramEnd"/>
      <w:r w:rsidRPr="00E641B6">
        <w:rPr>
          <w:sz w:val="24"/>
          <w:lang w:val="en-GB"/>
        </w:rPr>
        <w:t xml:space="preserve"> 30 June 2025. Gross debt has increased from $650.8M to $710.7M due to capex spend which is funded by debt.</w:t>
      </w:r>
    </w:p>
    <w:p w14:paraId="34179239" w14:textId="45922F99" w:rsidR="00763425" w:rsidRPr="00E641B6" w:rsidRDefault="00763425" w:rsidP="00DF6A85">
      <w:pPr>
        <w:rPr>
          <w:sz w:val="24"/>
          <w:lang w:val="en-GB"/>
        </w:rPr>
      </w:pPr>
      <w:r w:rsidRPr="00E641B6">
        <w:rPr>
          <w:noProof/>
          <w:sz w:val="24"/>
          <w:lang w:val="en-GB"/>
        </w:rPr>
        <w:lastRenderedPageBreak/>
        <w:drawing>
          <wp:inline distT="0" distB="0" distL="0" distR="0" wp14:anchorId="1438C7D8" wp14:editId="7E14F855">
            <wp:extent cx="4305782" cy="4035299"/>
            <wp:effectExtent l="0" t="0" r="0" b="3810"/>
            <wp:docPr id="1578700716" name="Picture 1" descr="A graph showing external debt versus capital works up to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00716" name="Picture 1" descr="A graph showing external debt versus capital works up to 2025."/>
                    <pic:cNvPicPr/>
                  </pic:nvPicPr>
                  <pic:blipFill>
                    <a:blip r:embed="rId20"/>
                    <a:stretch>
                      <a:fillRect/>
                    </a:stretch>
                  </pic:blipFill>
                  <pic:spPr>
                    <a:xfrm>
                      <a:off x="0" y="0"/>
                      <a:ext cx="4321537" cy="4050064"/>
                    </a:xfrm>
                    <a:prstGeom prst="rect">
                      <a:avLst/>
                    </a:prstGeom>
                  </pic:spPr>
                </pic:pic>
              </a:graphicData>
            </a:graphic>
          </wp:inline>
        </w:drawing>
      </w:r>
    </w:p>
    <w:p w14:paraId="4D929F74" w14:textId="77777777" w:rsidR="00763425" w:rsidRPr="00763425" w:rsidRDefault="00763425" w:rsidP="00763425">
      <w:pPr>
        <w:pStyle w:val="Heading3"/>
        <w:rPr>
          <w:lang w:val="en-GB"/>
        </w:rPr>
      </w:pPr>
      <w:bookmarkStart w:id="53" w:name="_Toc211422665"/>
      <w:r w:rsidRPr="00763425">
        <w:rPr>
          <w:lang w:val="en-GB"/>
        </w:rPr>
        <w:t>Rates</w:t>
      </w:r>
      <w:bookmarkEnd w:id="53"/>
      <w:r w:rsidRPr="00763425">
        <w:rPr>
          <w:lang w:val="en-GB"/>
        </w:rPr>
        <w:t xml:space="preserve"> </w:t>
      </w:r>
    </w:p>
    <w:p w14:paraId="5B4E1E28" w14:textId="0CFBF3BE" w:rsidR="00763425" w:rsidRPr="00E641B6" w:rsidRDefault="00763425" w:rsidP="00763425">
      <w:pPr>
        <w:rPr>
          <w:sz w:val="24"/>
          <w:lang w:val="en-GB"/>
        </w:rPr>
      </w:pPr>
      <w:r w:rsidRPr="00E641B6">
        <w:rPr>
          <w:sz w:val="24"/>
          <w:lang w:val="en-GB"/>
        </w:rPr>
        <w:t xml:space="preserve">The graph below shows the actual rates increase over the past four years compared to the increases forecast in the </w:t>
      </w:r>
      <w:proofErr w:type="gramStart"/>
      <w:r w:rsidRPr="00E641B6">
        <w:rPr>
          <w:sz w:val="24"/>
          <w:lang w:val="en-GB"/>
        </w:rPr>
        <w:t>Long Term</w:t>
      </w:r>
      <w:proofErr w:type="gramEnd"/>
      <w:r w:rsidRPr="00E641B6">
        <w:rPr>
          <w:sz w:val="24"/>
          <w:lang w:val="en-GB"/>
        </w:rPr>
        <w:t xml:space="preserve"> Plan 2021-2031 and 2024-2034. The total rates for 2023-2024 are higher than forecast mainly due to additional cost, </w:t>
      </w:r>
      <w:proofErr w:type="gramStart"/>
      <w:r w:rsidRPr="00E641B6">
        <w:rPr>
          <w:sz w:val="24"/>
          <w:lang w:val="en-GB"/>
        </w:rPr>
        <w:t>as a result of</w:t>
      </w:r>
      <w:proofErr w:type="gramEnd"/>
      <w:r w:rsidRPr="00E641B6">
        <w:rPr>
          <w:sz w:val="24"/>
          <w:lang w:val="en-GB"/>
        </w:rPr>
        <w:t xml:space="preserve"> inflationary pressure and increasing interest rates.</w:t>
      </w:r>
    </w:p>
    <w:p w14:paraId="18DDFF60" w14:textId="57DB5264" w:rsidR="00763425" w:rsidRPr="00E641B6" w:rsidRDefault="00763425" w:rsidP="00763425">
      <w:pPr>
        <w:rPr>
          <w:sz w:val="24"/>
          <w:lang w:val="en-GB"/>
        </w:rPr>
      </w:pPr>
      <w:r w:rsidRPr="00E641B6">
        <w:rPr>
          <w:noProof/>
          <w:sz w:val="24"/>
          <w:lang w:val="en-GB"/>
        </w:rPr>
        <w:drawing>
          <wp:inline distT="0" distB="0" distL="0" distR="0" wp14:anchorId="13F4BCA5" wp14:editId="26E3EA51">
            <wp:extent cx="4363656" cy="2559889"/>
            <wp:effectExtent l="0" t="0" r="0" b="0"/>
            <wp:docPr id="1932607422" name="Picture 1" descr="A graph showing actual and forecast rates increase up to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07422" name="Picture 1" descr="A graph showing actual and forecast rates increase up to 2025."/>
                    <pic:cNvPicPr/>
                  </pic:nvPicPr>
                  <pic:blipFill>
                    <a:blip r:embed="rId21"/>
                    <a:stretch>
                      <a:fillRect/>
                    </a:stretch>
                  </pic:blipFill>
                  <pic:spPr>
                    <a:xfrm>
                      <a:off x="0" y="0"/>
                      <a:ext cx="4378779" cy="2568761"/>
                    </a:xfrm>
                    <a:prstGeom prst="rect">
                      <a:avLst/>
                    </a:prstGeom>
                  </pic:spPr>
                </pic:pic>
              </a:graphicData>
            </a:graphic>
          </wp:inline>
        </w:drawing>
      </w:r>
    </w:p>
    <w:p w14:paraId="66907AE7" w14:textId="77777777" w:rsidR="00763425" w:rsidRPr="00763425" w:rsidRDefault="00763425" w:rsidP="00763425">
      <w:pPr>
        <w:pStyle w:val="Heading3"/>
        <w:rPr>
          <w:lang w:val="en-GB"/>
        </w:rPr>
      </w:pPr>
      <w:bookmarkStart w:id="54" w:name="_Toc211422666"/>
      <w:r w:rsidRPr="00763425">
        <w:rPr>
          <w:lang w:val="en-GB"/>
        </w:rPr>
        <w:t>Debt levels</w:t>
      </w:r>
      <w:bookmarkEnd w:id="54"/>
      <w:r w:rsidRPr="00763425">
        <w:rPr>
          <w:lang w:val="en-GB"/>
        </w:rPr>
        <w:t xml:space="preserve"> </w:t>
      </w:r>
    </w:p>
    <w:p w14:paraId="3134670C" w14:textId="4FC7CC01" w:rsidR="00763425" w:rsidRPr="00E641B6" w:rsidRDefault="00763425" w:rsidP="00763425">
      <w:pPr>
        <w:rPr>
          <w:sz w:val="24"/>
          <w:lang w:val="en-GB"/>
        </w:rPr>
      </w:pPr>
      <w:proofErr w:type="gramStart"/>
      <w:r w:rsidRPr="00E641B6">
        <w:rPr>
          <w:sz w:val="24"/>
          <w:lang w:val="en-GB"/>
        </w:rPr>
        <w:t>In order to</w:t>
      </w:r>
      <w:proofErr w:type="gramEnd"/>
      <w:r w:rsidRPr="00E641B6">
        <w:rPr>
          <w:sz w:val="24"/>
          <w:lang w:val="en-GB"/>
        </w:rPr>
        <w:t xml:space="preserve"> deliver the large capital programme included in the </w:t>
      </w:r>
      <w:proofErr w:type="gramStart"/>
      <w:r w:rsidRPr="00E641B6">
        <w:rPr>
          <w:sz w:val="24"/>
          <w:lang w:val="en-GB"/>
        </w:rPr>
        <w:t>Long Term</w:t>
      </w:r>
      <w:proofErr w:type="gramEnd"/>
      <w:r w:rsidRPr="00E641B6">
        <w:rPr>
          <w:sz w:val="24"/>
          <w:lang w:val="en-GB"/>
        </w:rPr>
        <w:t xml:space="preserve"> Plan 2021-2031 and 2024-2034, the Council needed to rely on borrowing. The Council spent a </w:t>
      </w:r>
      <w:r w:rsidRPr="00E641B6">
        <w:rPr>
          <w:sz w:val="24"/>
          <w:lang w:val="en-GB"/>
        </w:rPr>
        <w:lastRenderedPageBreak/>
        <w:t xml:space="preserve">considerable amount of time and effort working through the capital programme to ensure it is affordable and deliverable. The actual net debt (includes cash on hand) as </w:t>
      </w:r>
      <w:proofErr w:type="gramStart"/>
      <w:r w:rsidRPr="00E641B6">
        <w:rPr>
          <w:sz w:val="24"/>
          <w:lang w:val="en-GB"/>
        </w:rPr>
        <w:t>at</w:t>
      </w:r>
      <w:proofErr w:type="gramEnd"/>
      <w:r w:rsidRPr="00E641B6">
        <w:rPr>
          <w:sz w:val="24"/>
          <w:lang w:val="en-GB"/>
        </w:rPr>
        <w:t xml:space="preserve"> 30 June 2025 was $686.1M; this is $42.3M more than June 2024, and $42.9M more than forecast in the </w:t>
      </w:r>
      <w:proofErr w:type="gramStart"/>
      <w:r w:rsidRPr="00E641B6">
        <w:rPr>
          <w:sz w:val="24"/>
          <w:lang w:val="en-GB"/>
        </w:rPr>
        <w:t>Long Term</w:t>
      </w:r>
      <w:proofErr w:type="gramEnd"/>
      <w:r w:rsidRPr="00E641B6">
        <w:rPr>
          <w:sz w:val="24"/>
          <w:lang w:val="en-GB"/>
        </w:rPr>
        <w:t xml:space="preserve"> Plan 2024-2034. Debt is within Council’s borrowing limits, although higher than budget due to the large leaky building settlement that occurred in FY24, the delayed sale of The Commonage and the increased debt due to capital programme funding. This has resulted in higher interest costs coupled with the impact of increasing interest rates.</w:t>
      </w:r>
    </w:p>
    <w:p w14:paraId="40F53250" w14:textId="7666986F" w:rsidR="00763425" w:rsidRPr="00E641B6" w:rsidRDefault="00763425" w:rsidP="00763425">
      <w:pPr>
        <w:rPr>
          <w:sz w:val="24"/>
          <w:lang w:val="en-GB"/>
        </w:rPr>
      </w:pPr>
      <w:r w:rsidRPr="00E641B6">
        <w:rPr>
          <w:sz w:val="24"/>
          <w:lang w:val="en-GB"/>
        </w:rPr>
        <w:t xml:space="preserve">The actual and proposed levels of debt are within </w:t>
      </w:r>
      <w:proofErr w:type="gramStart"/>
      <w:r w:rsidRPr="00E641B6">
        <w:rPr>
          <w:sz w:val="24"/>
          <w:lang w:val="en-GB"/>
        </w:rPr>
        <w:t>all of</w:t>
      </w:r>
      <w:proofErr w:type="gramEnd"/>
      <w:r w:rsidRPr="00E641B6">
        <w:rPr>
          <w:sz w:val="24"/>
          <w:lang w:val="en-GB"/>
        </w:rPr>
        <w:t xml:space="preserve"> the Council’s borrowing limits: </w:t>
      </w:r>
    </w:p>
    <w:tbl>
      <w:tblPr>
        <w:tblStyle w:val="TableGrid"/>
        <w:tblW w:w="9493" w:type="dxa"/>
        <w:tblLayout w:type="fixed"/>
        <w:tblCellMar>
          <w:top w:w="115" w:type="dxa"/>
          <w:bottom w:w="115" w:type="dxa"/>
        </w:tblCellMar>
        <w:tblLook w:val="04A0" w:firstRow="1" w:lastRow="0" w:firstColumn="1" w:lastColumn="0" w:noHBand="0" w:noVBand="1"/>
      </w:tblPr>
      <w:tblGrid>
        <w:gridCol w:w="2373"/>
        <w:gridCol w:w="2373"/>
        <w:gridCol w:w="2373"/>
        <w:gridCol w:w="2374"/>
      </w:tblGrid>
      <w:tr w:rsidR="0030567B" w:rsidRPr="00A0388A" w14:paraId="0355BD05" w14:textId="77777777" w:rsidTr="0030567B">
        <w:trPr>
          <w:cantSplit/>
        </w:trPr>
        <w:tc>
          <w:tcPr>
            <w:tcW w:w="2373" w:type="dxa"/>
            <w:shd w:val="clear" w:color="auto" w:fill="BFBFBF" w:themeFill="background1" w:themeFillShade="BF"/>
          </w:tcPr>
          <w:p w14:paraId="215E4898" w14:textId="48528E27" w:rsidR="0030567B" w:rsidRPr="00A0388A" w:rsidRDefault="0030567B" w:rsidP="0030567B">
            <w:pPr>
              <w:rPr>
                <w:b/>
                <w:bCs/>
                <w:sz w:val="18"/>
                <w:szCs w:val="18"/>
                <w:lang w:val="en-US"/>
              </w:rPr>
            </w:pPr>
            <w:r w:rsidRPr="00E641B6">
              <w:rPr>
                <w:sz w:val="24"/>
              </w:rPr>
              <w:t>Council's Borrowing Limits</w:t>
            </w:r>
          </w:p>
        </w:tc>
        <w:tc>
          <w:tcPr>
            <w:tcW w:w="2373" w:type="dxa"/>
            <w:shd w:val="clear" w:color="auto" w:fill="BFBFBF" w:themeFill="background1" w:themeFillShade="BF"/>
          </w:tcPr>
          <w:p w14:paraId="3913B700" w14:textId="222445E9" w:rsidR="0030567B" w:rsidRPr="00A0388A" w:rsidRDefault="0030567B" w:rsidP="0030567B">
            <w:pPr>
              <w:rPr>
                <w:b/>
                <w:bCs/>
                <w:sz w:val="18"/>
                <w:szCs w:val="18"/>
                <w:lang w:val="en-US"/>
              </w:rPr>
            </w:pPr>
            <w:r w:rsidRPr="00E641B6">
              <w:rPr>
                <w:sz w:val="24"/>
              </w:rPr>
              <w:t>Actual 2022/23</w:t>
            </w:r>
          </w:p>
        </w:tc>
        <w:tc>
          <w:tcPr>
            <w:tcW w:w="2373" w:type="dxa"/>
            <w:shd w:val="clear" w:color="auto" w:fill="BFBFBF" w:themeFill="background1" w:themeFillShade="BF"/>
          </w:tcPr>
          <w:p w14:paraId="4460554A" w14:textId="649ACA05" w:rsidR="0030567B" w:rsidRPr="00A0388A" w:rsidRDefault="0030567B" w:rsidP="0030567B">
            <w:pPr>
              <w:rPr>
                <w:b/>
                <w:bCs/>
                <w:sz w:val="18"/>
                <w:szCs w:val="18"/>
                <w:lang w:val="en-US"/>
              </w:rPr>
            </w:pPr>
            <w:r w:rsidRPr="00E641B6">
              <w:rPr>
                <w:sz w:val="24"/>
              </w:rPr>
              <w:t>Actual 2023/24</w:t>
            </w:r>
          </w:p>
        </w:tc>
        <w:tc>
          <w:tcPr>
            <w:tcW w:w="2374" w:type="dxa"/>
            <w:shd w:val="clear" w:color="auto" w:fill="BFBFBF" w:themeFill="background1" w:themeFillShade="BF"/>
          </w:tcPr>
          <w:p w14:paraId="3EB4CD00" w14:textId="2144FB82" w:rsidR="0030567B" w:rsidRPr="00A0388A" w:rsidRDefault="0030567B" w:rsidP="0030567B">
            <w:pPr>
              <w:rPr>
                <w:b/>
                <w:bCs/>
                <w:sz w:val="18"/>
                <w:szCs w:val="18"/>
                <w:lang w:val="en-US"/>
              </w:rPr>
            </w:pPr>
            <w:r w:rsidRPr="00E641B6">
              <w:rPr>
                <w:sz w:val="24"/>
              </w:rPr>
              <w:t>Actual 2024/25</w:t>
            </w:r>
          </w:p>
        </w:tc>
      </w:tr>
      <w:tr w:rsidR="0030567B" w:rsidRPr="00D75692" w14:paraId="548A420E" w14:textId="77777777" w:rsidTr="0030567B">
        <w:trPr>
          <w:cantSplit/>
          <w:trHeight w:val="15"/>
        </w:trPr>
        <w:tc>
          <w:tcPr>
            <w:tcW w:w="2373" w:type="dxa"/>
            <w:shd w:val="clear" w:color="auto" w:fill="FFFFFF" w:themeFill="background1"/>
          </w:tcPr>
          <w:p w14:paraId="0B411F71" w14:textId="6E716DF6" w:rsidR="0030567B" w:rsidRPr="00D75692" w:rsidRDefault="0030567B" w:rsidP="0030567B">
            <w:pPr>
              <w:rPr>
                <w:rFonts w:cs="HelveticaNeueLT Std"/>
                <w:sz w:val="18"/>
                <w:szCs w:val="18"/>
              </w:rPr>
            </w:pPr>
            <w:r w:rsidRPr="00E641B6">
              <w:rPr>
                <w:sz w:val="24"/>
              </w:rPr>
              <w:t>Interest Expense/Rates &lt;30%</w:t>
            </w:r>
          </w:p>
        </w:tc>
        <w:tc>
          <w:tcPr>
            <w:tcW w:w="2373" w:type="dxa"/>
            <w:shd w:val="clear" w:color="auto" w:fill="FFFFFF" w:themeFill="background1"/>
          </w:tcPr>
          <w:p w14:paraId="5C5FF57C" w14:textId="10945801" w:rsidR="0030567B" w:rsidRPr="00D75692" w:rsidRDefault="0030567B" w:rsidP="0030567B">
            <w:pPr>
              <w:rPr>
                <w:rFonts w:cs="HelveticaNeueLT Std"/>
                <w:sz w:val="18"/>
                <w:szCs w:val="18"/>
              </w:rPr>
            </w:pPr>
            <w:r w:rsidRPr="00E641B6">
              <w:rPr>
                <w:sz w:val="24"/>
              </w:rPr>
              <w:t>17.5%</w:t>
            </w:r>
          </w:p>
        </w:tc>
        <w:tc>
          <w:tcPr>
            <w:tcW w:w="2373" w:type="dxa"/>
            <w:shd w:val="clear" w:color="auto" w:fill="FFFFFF" w:themeFill="background1"/>
          </w:tcPr>
          <w:p w14:paraId="6859822B" w14:textId="2600C58D" w:rsidR="0030567B" w:rsidRPr="00D75692" w:rsidRDefault="0030567B" w:rsidP="0030567B">
            <w:pPr>
              <w:rPr>
                <w:rFonts w:cs="HelveticaNeueLT Std"/>
                <w:sz w:val="18"/>
                <w:szCs w:val="18"/>
              </w:rPr>
            </w:pPr>
            <w:r w:rsidRPr="00E641B6">
              <w:rPr>
                <w:sz w:val="24"/>
              </w:rPr>
              <w:t>25.3%</w:t>
            </w:r>
          </w:p>
        </w:tc>
        <w:tc>
          <w:tcPr>
            <w:tcW w:w="2374" w:type="dxa"/>
            <w:shd w:val="clear" w:color="auto" w:fill="FFFFFF" w:themeFill="background1"/>
          </w:tcPr>
          <w:p w14:paraId="4CE38995" w14:textId="06A78BFE" w:rsidR="0030567B" w:rsidRPr="00D75692" w:rsidRDefault="0030567B" w:rsidP="0030567B">
            <w:pPr>
              <w:rPr>
                <w:rFonts w:cs="HelveticaNeueLT Std"/>
                <w:sz w:val="18"/>
                <w:szCs w:val="18"/>
              </w:rPr>
            </w:pPr>
            <w:r w:rsidRPr="00E641B6">
              <w:rPr>
                <w:sz w:val="24"/>
              </w:rPr>
              <w:t>20.4%</w:t>
            </w:r>
          </w:p>
        </w:tc>
      </w:tr>
      <w:tr w:rsidR="0030567B" w:rsidRPr="00D75692" w14:paraId="71EC598F" w14:textId="77777777" w:rsidTr="0030567B">
        <w:trPr>
          <w:cantSplit/>
          <w:trHeight w:val="15"/>
        </w:trPr>
        <w:tc>
          <w:tcPr>
            <w:tcW w:w="2373" w:type="dxa"/>
            <w:shd w:val="clear" w:color="auto" w:fill="FFFFFF" w:themeFill="background1"/>
          </w:tcPr>
          <w:p w14:paraId="17B5C54E" w14:textId="64B2339D" w:rsidR="0030567B" w:rsidRPr="00D75692" w:rsidRDefault="0030567B" w:rsidP="0030567B">
            <w:pPr>
              <w:rPr>
                <w:rFonts w:cs="HelveticaNeueLT Std"/>
                <w:sz w:val="18"/>
                <w:szCs w:val="18"/>
              </w:rPr>
            </w:pPr>
            <w:r w:rsidRPr="00E641B6">
              <w:rPr>
                <w:sz w:val="24"/>
              </w:rPr>
              <w:t>Interest Expense/Total Revenue &lt;20%</w:t>
            </w:r>
          </w:p>
        </w:tc>
        <w:tc>
          <w:tcPr>
            <w:tcW w:w="2373" w:type="dxa"/>
            <w:shd w:val="clear" w:color="auto" w:fill="FFFFFF" w:themeFill="background1"/>
          </w:tcPr>
          <w:p w14:paraId="335EFCE8" w14:textId="2372EB8C" w:rsidR="0030567B" w:rsidRPr="00D75692" w:rsidRDefault="0030567B" w:rsidP="0030567B">
            <w:pPr>
              <w:rPr>
                <w:rFonts w:cs="HelveticaNeueLT Std"/>
                <w:sz w:val="18"/>
                <w:szCs w:val="18"/>
              </w:rPr>
            </w:pPr>
            <w:r w:rsidRPr="00E641B6">
              <w:rPr>
                <w:sz w:val="24"/>
              </w:rPr>
              <w:t>8.8%</w:t>
            </w:r>
          </w:p>
        </w:tc>
        <w:tc>
          <w:tcPr>
            <w:tcW w:w="2373" w:type="dxa"/>
            <w:shd w:val="clear" w:color="auto" w:fill="FFFFFF" w:themeFill="background1"/>
          </w:tcPr>
          <w:p w14:paraId="5E191344" w14:textId="0AC327B7" w:rsidR="0030567B" w:rsidRPr="00D75692" w:rsidRDefault="0030567B" w:rsidP="0030567B">
            <w:pPr>
              <w:rPr>
                <w:rFonts w:cs="HelveticaNeueLT Std"/>
                <w:sz w:val="18"/>
                <w:szCs w:val="18"/>
              </w:rPr>
            </w:pPr>
            <w:r w:rsidRPr="00E641B6">
              <w:rPr>
                <w:sz w:val="24"/>
              </w:rPr>
              <w:t>13.4%</w:t>
            </w:r>
          </w:p>
        </w:tc>
        <w:tc>
          <w:tcPr>
            <w:tcW w:w="2374" w:type="dxa"/>
            <w:shd w:val="clear" w:color="auto" w:fill="FFFFFF" w:themeFill="background1"/>
          </w:tcPr>
          <w:p w14:paraId="03050062" w14:textId="7BD74063" w:rsidR="0030567B" w:rsidRPr="00D75692" w:rsidRDefault="0030567B" w:rsidP="0030567B">
            <w:pPr>
              <w:rPr>
                <w:rFonts w:cs="HelveticaNeueLT Std"/>
                <w:sz w:val="18"/>
                <w:szCs w:val="18"/>
              </w:rPr>
            </w:pPr>
            <w:r w:rsidRPr="00E641B6">
              <w:rPr>
                <w:sz w:val="24"/>
              </w:rPr>
              <w:t>11.8%</w:t>
            </w:r>
          </w:p>
        </w:tc>
      </w:tr>
      <w:tr w:rsidR="0030567B" w:rsidRPr="00E641B6" w14:paraId="6E9524EF" w14:textId="77777777" w:rsidTr="0030567B">
        <w:trPr>
          <w:cantSplit/>
          <w:trHeight w:val="15"/>
        </w:trPr>
        <w:tc>
          <w:tcPr>
            <w:tcW w:w="2373" w:type="dxa"/>
            <w:shd w:val="clear" w:color="auto" w:fill="FFFFFF" w:themeFill="background1"/>
          </w:tcPr>
          <w:p w14:paraId="63575BA6" w14:textId="5091D984" w:rsidR="0030567B" w:rsidRPr="00D75692" w:rsidRDefault="0030567B" w:rsidP="0030567B">
            <w:pPr>
              <w:rPr>
                <w:rFonts w:cs="HelveticaNeueLT Std"/>
                <w:sz w:val="18"/>
                <w:szCs w:val="18"/>
              </w:rPr>
            </w:pPr>
            <w:r w:rsidRPr="00E641B6">
              <w:rPr>
                <w:sz w:val="24"/>
              </w:rPr>
              <w:t>Net Debt/Total Revenue &lt;280%</w:t>
            </w:r>
          </w:p>
        </w:tc>
        <w:tc>
          <w:tcPr>
            <w:tcW w:w="2373" w:type="dxa"/>
            <w:shd w:val="clear" w:color="auto" w:fill="FFFFFF" w:themeFill="background1"/>
          </w:tcPr>
          <w:p w14:paraId="2963E804" w14:textId="06528841" w:rsidR="0030567B" w:rsidRPr="00D75692" w:rsidRDefault="0030567B" w:rsidP="0030567B">
            <w:pPr>
              <w:rPr>
                <w:rFonts w:cs="HelveticaNeueLT Std"/>
                <w:sz w:val="18"/>
                <w:szCs w:val="18"/>
              </w:rPr>
            </w:pPr>
            <w:r w:rsidRPr="00E641B6">
              <w:rPr>
                <w:sz w:val="24"/>
              </w:rPr>
              <w:t>253.4%</w:t>
            </w:r>
          </w:p>
        </w:tc>
        <w:tc>
          <w:tcPr>
            <w:tcW w:w="2373" w:type="dxa"/>
            <w:shd w:val="clear" w:color="auto" w:fill="FFFFFF" w:themeFill="background1"/>
          </w:tcPr>
          <w:p w14:paraId="78C8ACD4" w14:textId="2741DD49" w:rsidR="0030567B" w:rsidRPr="00D75692" w:rsidRDefault="0030567B" w:rsidP="0030567B">
            <w:pPr>
              <w:rPr>
                <w:rFonts w:cs="HelveticaNeueLT Std"/>
                <w:sz w:val="18"/>
                <w:szCs w:val="18"/>
              </w:rPr>
            </w:pPr>
            <w:r w:rsidRPr="00E641B6">
              <w:rPr>
                <w:sz w:val="24"/>
              </w:rPr>
              <w:t>270.8%</w:t>
            </w:r>
          </w:p>
        </w:tc>
        <w:tc>
          <w:tcPr>
            <w:tcW w:w="2374" w:type="dxa"/>
            <w:shd w:val="clear" w:color="auto" w:fill="FFFFFF" w:themeFill="background1"/>
          </w:tcPr>
          <w:p w14:paraId="459B36E1" w14:textId="24D311C9" w:rsidR="0030567B" w:rsidRPr="00D75692" w:rsidRDefault="0030567B" w:rsidP="0030567B">
            <w:pPr>
              <w:rPr>
                <w:rFonts w:cs="HelveticaNeueLT Std"/>
                <w:sz w:val="18"/>
                <w:szCs w:val="18"/>
              </w:rPr>
            </w:pPr>
            <w:r w:rsidRPr="00E641B6">
              <w:rPr>
                <w:sz w:val="24"/>
              </w:rPr>
              <w:t>270.1%</w:t>
            </w:r>
          </w:p>
        </w:tc>
      </w:tr>
    </w:tbl>
    <w:p w14:paraId="740A4900" w14:textId="77777777" w:rsidR="0030567B" w:rsidRPr="00E641B6" w:rsidRDefault="0030567B" w:rsidP="00763425">
      <w:pPr>
        <w:rPr>
          <w:sz w:val="24"/>
          <w:lang w:val="en-GB"/>
        </w:rPr>
      </w:pPr>
    </w:p>
    <w:p w14:paraId="3487075F" w14:textId="2F14172F" w:rsidR="0030567B" w:rsidRPr="00E641B6" w:rsidRDefault="0030567B" w:rsidP="00763425">
      <w:pPr>
        <w:rPr>
          <w:sz w:val="24"/>
          <w:lang w:val="en-GB"/>
        </w:rPr>
      </w:pPr>
      <w:r w:rsidRPr="00E641B6">
        <w:rPr>
          <w:sz w:val="24"/>
          <w:lang w:val="en-GB"/>
        </w:rPr>
        <w:t xml:space="preserve">The following graph shows the forecasted debt levels compared to actual debt levels up to 2024-2025. As can be seen, actual debt levels have surpassed Long Term Plan levels. The actual gross debt as </w:t>
      </w:r>
      <w:proofErr w:type="gramStart"/>
      <w:r w:rsidRPr="00E641B6">
        <w:rPr>
          <w:sz w:val="24"/>
          <w:lang w:val="en-GB"/>
        </w:rPr>
        <w:t>at</w:t>
      </w:r>
      <w:proofErr w:type="gramEnd"/>
      <w:r w:rsidRPr="00E641B6">
        <w:rPr>
          <w:sz w:val="24"/>
          <w:lang w:val="en-GB"/>
        </w:rPr>
        <w:t xml:space="preserve"> 30 June 2025 was $710.7M, which is $49.6M more than the amount forecast in the </w:t>
      </w:r>
      <w:proofErr w:type="gramStart"/>
      <w:r w:rsidRPr="00E641B6">
        <w:rPr>
          <w:sz w:val="24"/>
          <w:lang w:val="en-GB"/>
        </w:rPr>
        <w:t>Long Term</w:t>
      </w:r>
      <w:proofErr w:type="gramEnd"/>
      <w:r w:rsidRPr="00E641B6">
        <w:rPr>
          <w:sz w:val="24"/>
          <w:lang w:val="en-GB"/>
        </w:rPr>
        <w:t xml:space="preserve"> Plan 2024-2034. This is largely due to the delay of The Commonage sale to FY26.</w:t>
      </w:r>
    </w:p>
    <w:p w14:paraId="746E9B1C" w14:textId="13C8B4BC" w:rsidR="0030567B" w:rsidRPr="00E641B6" w:rsidRDefault="0030567B" w:rsidP="00763425">
      <w:pPr>
        <w:rPr>
          <w:sz w:val="24"/>
          <w:lang w:val="en-GB"/>
        </w:rPr>
      </w:pPr>
      <w:r w:rsidRPr="00E641B6">
        <w:rPr>
          <w:noProof/>
          <w:sz w:val="24"/>
          <w:lang w:val="en-GB"/>
        </w:rPr>
        <w:drawing>
          <wp:inline distT="0" distB="0" distL="0" distR="0" wp14:anchorId="15CA553C" wp14:editId="3E4C5106">
            <wp:extent cx="4294208" cy="2836955"/>
            <wp:effectExtent l="0" t="0" r="0" b="1905"/>
            <wp:docPr id="790814201" name="Picture 1" descr="A graph showing actual and forecast external debt up to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14201" name="Picture 1" descr="A graph showing actual and forecast external debt up to 2025."/>
                    <pic:cNvPicPr/>
                  </pic:nvPicPr>
                  <pic:blipFill>
                    <a:blip r:embed="rId22"/>
                    <a:stretch>
                      <a:fillRect/>
                    </a:stretch>
                  </pic:blipFill>
                  <pic:spPr>
                    <a:xfrm>
                      <a:off x="0" y="0"/>
                      <a:ext cx="4307974" cy="2846049"/>
                    </a:xfrm>
                    <a:prstGeom prst="rect">
                      <a:avLst/>
                    </a:prstGeom>
                  </pic:spPr>
                </pic:pic>
              </a:graphicData>
            </a:graphic>
          </wp:inline>
        </w:drawing>
      </w:r>
    </w:p>
    <w:p w14:paraId="64EF2DF4" w14:textId="57C1497D" w:rsidR="0030567B" w:rsidRPr="0030567B" w:rsidRDefault="0030567B" w:rsidP="0030567B">
      <w:pPr>
        <w:pStyle w:val="Heading3"/>
        <w:rPr>
          <w:lang w:val="en-GB"/>
        </w:rPr>
      </w:pPr>
      <w:bookmarkStart w:id="55" w:name="_Toc211422667"/>
      <w:r w:rsidRPr="0030567B">
        <w:rPr>
          <w:lang w:val="en-GB"/>
        </w:rPr>
        <w:lastRenderedPageBreak/>
        <w:t>Capital works 2024-25</w:t>
      </w:r>
      <w:bookmarkEnd w:id="55"/>
    </w:p>
    <w:p w14:paraId="414073BB" w14:textId="46C2D95C" w:rsidR="0030567B" w:rsidRPr="00E641B6" w:rsidRDefault="0030567B" w:rsidP="0030567B">
      <w:pPr>
        <w:rPr>
          <w:sz w:val="24"/>
          <w:lang w:val="en-GB"/>
        </w:rPr>
      </w:pPr>
      <w:r w:rsidRPr="00E641B6">
        <w:rPr>
          <w:sz w:val="24"/>
          <w:lang w:val="en-GB"/>
        </w:rPr>
        <w:t>Notable Infrastructure projects that have been substantially advanced or completed during the 2024-25 financial year:</w:t>
      </w:r>
    </w:p>
    <w:tbl>
      <w:tblPr>
        <w:tblStyle w:val="TableGrid"/>
        <w:tblW w:w="9493" w:type="dxa"/>
        <w:tblLayout w:type="fixed"/>
        <w:tblCellMar>
          <w:top w:w="115" w:type="dxa"/>
          <w:bottom w:w="115" w:type="dxa"/>
        </w:tblCellMar>
        <w:tblLook w:val="04A0" w:firstRow="1" w:lastRow="0" w:firstColumn="1" w:lastColumn="0" w:noHBand="0" w:noVBand="1"/>
      </w:tblPr>
      <w:tblGrid>
        <w:gridCol w:w="6658"/>
        <w:gridCol w:w="2835"/>
      </w:tblGrid>
      <w:tr w:rsidR="00CF5FBF" w:rsidRPr="00A0388A" w14:paraId="68B95EF9" w14:textId="77777777" w:rsidTr="00CF5FBF">
        <w:trPr>
          <w:cantSplit/>
        </w:trPr>
        <w:tc>
          <w:tcPr>
            <w:tcW w:w="6658" w:type="dxa"/>
            <w:shd w:val="clear" w:color="auto" w:fill="BFBFBF" w:themeFill="background1" w:themeFillShade="BF"/>
          </w:tcPr>
          <w:p w14:paraId="57D17FBB" w14:textId="28E266A4" w:rsidR="00CF5FBF" w:rsidRPr="00A0388A" w:rsidRDefault="00CF5FBF" w:rsidP="00CF5FBF">
            <w:pPr>
              <w:rPr>
                <w:b/>
                <w:bCs/>
                <w:sz w:val="18"/>
                <w:szCs w:val="18"/>
                <w:lang w:val="en-US"/>
              </w:rPr>
            </w:pPr>
            <w:r w:rsidRPr="00E641B6">
              <w:rPr>
                <w:sz w:val="24"/>
              </w:rPr>
              <w:t>Project</w:t>
            </w:r>
          </w:p>
        </w:tc>
        <w:tc>
          <w:tcPr>
            <w:tcW w:w="2835" w:type="dxa"/>
            <w:shd w:val="clear" w:color="auto" w:fill="BFBFBF" w:themeFill="background1" w:themeFillShade="BF"/>
          </w:tcPr>
          <w:p w14:paraId="1B1DFE81" w14:textId="10886757" w:rsidR="00CF5FBF" w:rsidRPr="00A0388A" w:rsidRDefault="00CF5FBF" w:rsidP="009512FB">
            <w:pPr>
              <w:jc w:val="right"/>
              <w:rPr>
                <w:b/>
                <w:bCs/>
                <w:sz w:val="18"/>
                <w:szCs w:val="18"/>
                <w:lang w:val="en-US"/>
              </w:rPr>
            </w:pPr>
            <w:r w:rsidRPr="00E641B6">
              <w:rPr>
                <w:sz w:val="24"/>
              </w:rPr>
              <w:t xml:space="preserve"> Cost at Year End 2025 </w:t>
            </w:r>
          </w:p>
        </w:tc>
      </w:tr>
      <w:tr w:rsidR="00CF5FBF" w:rsidRPr="00D75692" w14:paraId="28E24851" w14:textId="77777777" w:rsidTr="00CF5FBF">
        <w:trPr>
          <w:cantSplit/>
          <w:trHeight w:val="15"/>
        </w:trPr>
        <w:tc>
          <w:tcPr>
            <w:tcW w:w="6658" w:type="dxa"/>
            <w:shd w:val="clear" w:color="auto" w:fill="FFFFFF" w:themeFill="background1"/>
          </w:tcPr>
          <w:p w14:paraId="2A7D5492" w14:textId="5BF12C33" w:rsidR="00CF5FBF" w:rsidRPr="00D75692" w:rsidRDefault="00CF5FBF" w:rsidP="00CF5FBF">
            <w:pPr>
              <w:rPr>
                <w:rFonts w:cs="HelveticaNeueLT Std"/>
                <w:sz w:val="18"/>
                <w:szCs w:val="18"/>
              </w:rPr>
            </w:pPr>
            <w:r w:rsidRPr="00E641B6">
              <w:rPr>
                <w:sz w:val="24"/>
              </w:rPr>
              <w:t>Arterial Stage One (Transport)</w:t>
            </w:r>
          </w:p>
        </w:tc>
        <w:tc>
          <w:tcPr>
            <w:tcW w:w="2835" w:type="dxa"/>
            <w:shd w:val="clear" w:color="auto" w:fill="FFFFFF" w:themeFill="background1"/>
          </w:tcPr>
          <w:p w14:paraId="25221DE9" w14:textId="4E399830" w:rsidR="00CF5FBF" w:rsidRPr="00D75692" w:rsidRDefault="00CF5FBF" w:rsidP="009512FB">
            <w:pPr>
              <w:jc w:val="right"/>
              <w:rPr>
                <w:rFonts w:cs="HelveticaNeueLT Std"/>
                <w:sz w:val="18"/>
                <w:szCs w:val="18"/>
              </w:rPr>
            </w:pPr>
            <w:r w:rsidRPr="00E641B6">
              <w:rPr>
                <w:sz w:val="24"/>
              </w:rPr>
              <w:t xml:space="preserve"> $31,812,056 </w:t>
            </w:r>
          </w:p>
        </w:tc>
      </w:tr>
      <w:tr w:rsidR="00CF5FBF" w:rsidRPr="00D75692" w14:paraId="46449710" w14:textId="77777777" w:rsidTr="00CF5FBF">
        <w:trPr>
          <w:cantSplit/>
          <w:trHeight w:val="15"/>
        </w:trPr>
        <w:tc>
          <w:tcPr>
            <w:tcW w:w="6658" w:type="dxa"/>
            <w:shd w:val="clear" w:color="auto" w:fill="FFFFFF" w:themeFill="background1"/>
          </w:tcPr>
          <w:p w14:paraId="7C7FBCCD" w14:textId="1290465A" w:rsidR="00CF5FBF" w:rsidRPr="00D75692" w:rsidRDefault="00CF5FBF" w:rsidP="00CF5FBF">
            <w:pPr>
              <w:rPr>
                <w:rFonts w:cs="HelveticaNeueLT Std"/>
                <w:sz w:val="18"/>
                <w:szCs w:val="18"/>
              </w:rPr>
            </w:pPr>
            <w:r w:rsidRPr="00E641B6">
              <w:rPr>
                <w:sz w:val="24"/>
              </w:rPr>
              <w:t xml:space="preserve">Project </w:t>
            </w:r>
            <w:proofErr w:type="spellStart"/>
            <w:r w:rsidRPr="00E641B6">
              <w:rPr>
                <w:sz w:val="24"/>
              </w:rPr>
              <w:t>Shotover</w:t>
            </w:r>
            <w:proofErr w:type="spellEnd"/>
            <w:r w:rsidRPr="00E641B6">
              <w:rPr>
                <w:sz w:val="24"/>
              </w:rPr>
              <w:t xml:space="preserve"> Stage 3 (Wastewater)</w:t>
            </w:r>
          </w:p>
        </w:tc>
        <w:tc>
          <w:tcPr>
            <w:tcW w:w="2835" w:type="dxa"/>
            <w:shd w:val="clear" w:color="auto" w:fill="FFFFFF" w:themeFill="background1"/>
          </w:tcPr>
          <w:p w14:paraId="4B7AEF8B" w14:textId="43E7A72A" w:rsidR="00CF5FBF" w:rsidRPr="00D75692" w:rsidRDefault="00CF5FBF" w:rsidP="009512FB">
            <w:pPr>
              <w:jc w:val="right"/>
              <w:rPr>
                <w:rFonts w:cs="HelveticaNeueLT Std"/>
                <w:sz w:val="18"/>
                <w:szCs w:val="18"/>
              </w:rPr>
            </w:pPr>
            <w:r w:rsidRPr="00E641B6">
              <w:rPr>
                <w:sz w:val="24"/>
              </w:rPr>
              <w:t xml:space="preserve"> $20,379,508 </w:t>
            </w:r>
          </w:p>
        </w:tc>
      </w:tr>
      <w:tr w:rsidR="00CF5FBF" w:rsidRPr="00D75692" w14:paraId="7C0EA47C" w14:textId="77777777" w:rsidTr="00CF5FBF">
        <w:trPr>
          <w:cantSplit/>
          <w:trHeight w:val="15"/>
        </w:trPr>
        <w:tc>
          <w:tcPr>
            <w:tcW w:w="6658" w:type="dxa"/>
            <w:shd w:val="clear" w:color="auto" w:fill="FFFFFF" w:themeFill="background1"/>
          </w:tcPr>
          <w:p w14:paraId="18E3CD16" w14:textId="2904C024" w:rsidR="00CF5FBF" w:rsidRPr="00D75692" w:rsidRDefault="00CF5FBF" w:rsidP="00CF5FBF">
            <w:pPr>
              <w:rPr>
                <w:rFonts w:cs="HelveticaNeueLT Std"/>
                <w:sz w:val="18"/>
                <w:szCs w:val="18"/>
              </w:rPr>
            </w:pPr>
            <w:r w:rsidRPr="00E641B6">
              <w:rPr>
                <w:sz w:val="24"/>
              </w:rPr>
              <w:t>Compliance Response - UV Treatment (Water Supply)</w:t>
            </w:r>
          </w:p>
        </w:tc>
        <w:tc>
          <w:tcPr>
            <w:tcW w:w="2835" w:type="dxa"/>
            <w:shd w:val="clear" w:color="auto" w:fill="FFFFFF" w:themeFill="background1"/>
          </w:tcPr>
          <w:p w14:paraId="763F78EA" w14:textId="364BDC4D" w:rsidR="00CF5FBF" w:rsidRPr="00D75692" w:rsidRDefault="00CF5FBF" w:rsidP="009512FB">
            <w:pPr>
              <w:jc w:val="right"/>
              <w:rPr>
                <w:rFonts w:cs="HelveticaNeueLT Std"/>
                <w:sz w:val="18"/>
                <w:szCs w:val="18"/>
              </w:rPr>
            </w:pPr>
            <w:r w:rsidRPr="00E641B6">
              <w:rPr>
                <w:sz w:val="24"/>
              </w:rPr>
              <w:t xml:space="preserve"> $8,450,742 </w:t>
            </w:r>
          </w:p>
        </w:tc>
      </w:tr>
      <w:tr w:rsidR="00CF5FBF" w:rsidRPr="00D75692" w14:paraId="66081D18" w14:textId="77777777" w:rsidTr="00CF5FBF">
        <w:trPr>
          <w:cantSplit/>
          <w:trHeight w:val="15"/>
        </w:trPr>
        <w:tc>
          <w:tcPr>
            <w:tcW w:w="6658" w:type="dxa"/>
            <w:shd w:val="clear" w:color="auto" w:fill="FFFFFF" w:themeFill="background1"/>
          </w:tcPr>
          <w:p w14:paraId="6665DCC0" w14:textId="174F4ACB" w:rsidR="00CF5FBF" w:rsidRPr="00D75692" w:rsidRDefault="00CF5FBF" w:rsidP="00CF5FBF">
            <w:pPr>
              <w:rPr>
                <w:rFonts w:cs="HelveticaNeueLT Std"/>
                <w:sz w:val="18"/>
                <w:szCs w:val="18"/>
              </w:rPr>
            </w:pPr>
            <w:r w:rsidRPr="00E641B6">
              <w:rPr>
                <w:sz w:val="24"/>
              </w:rPr>
              <w:t>Kingston New Scheme (Water Supply)</w:t>
            </w:r>
          </w:p>
        </w:tc>
        <w:tc>
          <w:tcPr>
            <w:tcW w:w="2835" w:type="dxa"/>
            <w:shd w:val="clear" w:color="auto" w:fill="FFFFFF" w:themeFill="background1"/>
          </w:tcPr>
          <w:p w14:paraId="6CD2976D" w14:textId="57F518E6" w:rsidR="00CF5FBF" w:rsidRPr="00D75692" w:rsidRDefault="00CF5FBF" w:rsidP="009512FB">
            <w:pPr>
              <w:jc w:val="right"/>
              <w:rPr>
                <w:rFonts w:cs="HelveticaNeueLT Std"/>
                <w:sz w:val="18"/>
                <w:szCs w:val="18"/>
              </w:rPr>
            </w:pPr>
            <w:r w:rsidRPr="00E641B6">
              <w:rPr>
                <w:sz w:val="24"/>
              </w:rPr>
              <w:t xml:space="preserve"> $7,412,364 </w:t>
            </w:r>
          </w:p>
        </w:tc>
      </w:tr>
      <w:tr w:rsidR="00CF5FBF" w:rsidRPr="00D75692" w14:paraId="2E0EF266" w14:textId="77777777" w:rsidTr="00CF5FBF">
        <w:trPr>
          <w:cantSplit/>
          <w:trHeight w:val="15"/>
        </w:trPr>
        <w:tc>
          <w:tcPr>
            <w:tcW w:w="6658" w:type="dxa"/>
            <w:shd w:val="clear" w:color="auto" w:fill="FFFFFF" w:themeFill="background1"/>
          </w:tcPr>
          <w:p w14:paraId="2C06F247" w14:textId="70C91082" w:rsidR="00CF5FBF" w:rsidRPr="00D75692" w:rsidRDefault="00CF5FBF" w:rsidP="00CF5FBF">
            <w:pPr>
              <w:rPr>
                <w:rFonts w:cs="HelveticaNeueLT Std"/>
                <w:sz w:val="18"/>
                <w:szCs w:val="18"/>
              </w:rPr>
            </w:pPr>
            <w:r w:rsidRPr="00E641B6">
              <w:rPr>
                <w:sz w:val="24"/>
              </w:rPr>
              <w:t>Project Pure Aeration Grid Renewal (Wastewater)</w:t>
            </w:r>
          </w:p>
        </w:tc>
        <w:tc>
          <w:tcPr>
            <w:tcW w:w="2835" w:type="dxa"/>
            <w:shd w:val="clear" w:color="auto" w:fill="FFFFFF" w:themeFill="background1"/>
          </w:tcPr>
          <w:p w14:paraId="21895F04" w14:textId="6C8B4D13" w:rsidR="00CF5FBF" w:rsidRPr="00D75692" w:rsidRDefault="00CF5FBF" w:rsidP="009512FB">
            <w:pPr>
              <w:jc w:val="right"/>
              <w:rPr>
                <w:rFonts w:cs="HelveticaNeueLT Std"/>
                <w:sz w:val="18"/>
                <w:szCs w:val="18"/>
              </w:rPr>
            </w:pPr>
            <w:r w:rsidRPr="00E641B6">
              <w:rPr>
                <w:sz w:val="24"/>
              </w:rPr>
              <w:t xml:space="preserve"> $3,564,690 </w:t>
            </w:r>
          </w:p>
        </w:tc>
      </w:tr>
      <w:tr w:rsidR="00CF5FBF" w:rsidRPr="00D75692" w14:paraId="3B49754E" w14:textId="77777777" w:rsidTr="00CF5FBF">
        <w:trPr>
          <w:cantSplit/>
          <w:trHeight w:val="15"/>
        </w:trPr>
        <w:tc>
          <w:tcPr>
            <w:tcW w:w="6658" w:type="dxa"/>
            <w:shd w:val="clear" w:color="auto" w:fill="FFFFFF" w:themeFill="background1"/>
          </w:tcPr>
          <w:p w14:paraId="45335885" w14:textId="3718C9DD" w:rsidR="00CF5FBF" w:rsidRPr="00D75692" w:rsidRDefault="00CF5FBF" w:rsidP="00CF5FBF">
            <w:pPr>
              <w:rPr>
                <w:rFonts w:cs="HelveticaNeueLT Std"/>
                <w:sz w:val="18"/>
                <w:szCs w:val="18"/>
              </w:rPr>
            </w:pPr>
            <w:r w:rsidRPr="00E641B6">
              <w:rPr>
                <w:sz w:val="24"/>
              </w:rPr>
              <w:t>Upper Clutha Conveyance Scheme (Wastewater)</w:t>
            </w:r>
          </w:p>
        </w:tc>
        <w:tc>
          <w:tcPr>
            <w:tcW w:w="2835" w:type="dxa"/>
            <w:shd w:val="clear" w:color="auto" w:fill="FFFFFF" w:themeFill="background1"/>
          </w:tcPr>
          <w:p w14:paraId="5DD7CFBD" w14:textId="4D04F5C8" w:rsidR="00CF5FBF" w:rsidRPr="00D75692" w:rsidRDefault="00CF5FBF" w:rsidP="009512FB">
            <w:pPr>
              <w:jc w:val="right"/>
              <w:rPr>
                <w:rFonts w:cs="HelveticaNeueLT Std"/>
                <w:sz w:val="18"/>
                <w:szCs w:val="18"/>
              </w:rPr>
            </w:pPr>
            <w:r w:rsidRPr="00E641B6">
              <w:rPr>
                <w:sz w:val="24"/>
              </w:rPr>
              <w:t xml:space="preserve"> $2,788,159 </w:t>
            </w:r>
          </w:p>
        </w:tc>
      </w:tr>
      <w:tr w:rsidR="00CF5FBF" w:rsidRPr="00D75692" w14:paraId="57A96C47" w14:textId="77777777" w:rsidTr="00CF5FBF">
        <w:trPr>
          <w:cantSplit/>
          <w:trHeight w:val="15"/>
        </w:trPr>
        <w:tc>
          <w:tcPr>
            <w:tcW w:w="6658" w:type="dxa"/>
            <w:shd w:val="clear" w:color="auto" w:fill="FFFFFF" w:themeFill="background1"/>
          </w:tcPr>
          <w:p w14:paraId="4777441B" w14:textId="5255D2F8" w:rsidR="00CF5FBF" w:rsidRPr="00D75692" w:rsidRDefault="00CF5FBF" w:rsidP="00CF5FBF">
            <w:pPr>
              <w:rPr>
                <w:rFonts w:cs="HelveticaNeueLT Std"/>
                <w:sz w:val="18"/>
                <w:szCs w:val="18"/>
              </w:rPr>
            </w:pPr>
            <w:r w:rsidRPr="00E641B6">
              <w:rPr>
                <w:sz w:val="24"/>
              </w:rPr>
              <w:t>Renewals - Queenstown (Water Supply)</w:t>
            </w:r>
          </w:p>
        </w:tc>
        <w:tc>
          <w:tcPr>
            <w:tcW w:w="2835" w:type="dxa"/>
            <w:shd w:val="clear" w:color="auto" w:fill="FFFFFF" w:themeFill="background1"/>
          </w:tcPr>
          <w:p w14:paraId="457C9693" w14:textId="418B61B7" w:rsidR="00CF5FBF" w:rsidRPr="00D75692" w:rsidRDefault="00CF5FBF" w:rsidP="009512FB">
            <w:pPr>
              <w:jc w:val="right"/>
              <w:rPr>
                <w:rFonts w:cs="HelveticaNeueLT Std"/>
                <w:sz w:val="18"/>
                <w:szCs w:val="18"/>
              </w:rPr>
            </w:pPr>
            <w:r w:rsidRPr="00E641B6">
              <w:rPr>
                <w:sz w:val="24"/>
              </w:rPr>
              <w:t xml:space="preserve"> $2,620,452 </w:t>
            </w:r>
          </w:p>
        </w:tc>
      </w:tr>
      <w:tr w:rsidR="00CF5FBF" w:rsidRPr="00D75692" w14:paraId="16C5E2DE" w14:textId="77777777" w:rsidTr="00CF5FBF">
        <w:trPr>
          <w:cantSplit/>
          <w:trHeight w:val="15"/>
        </w:trPr>
        <w:tc>
          <w:tcPr>
            <w:tcW w:w="6658" w:type="dxa"/>
            <w:shd w:val="clear" w:color="auto" w:fill="FFFFFF" w:themeFill="background1"/>
          </w:tcPr>
          <w:p w14:paraId="04DD0B19" w14:textId="1B30795B" w:rsidR="00CF5FBF" w:rsidRPr="00D75692" w:rsidRDefault="00CF5FBF" w:rsidP="00CF5FBF">
            <w:pPr>
              <w:rPr>
                <w:rFonts w:cs="HelveticaNeueLT Std"/>
                <w:sz w:val="18"/>
                <w:szCs w:val="18"/>
              </w:rPr>
            </w:pPr>
            <w:r w:rsidRPr="00E641B6">
              <w:rPr>
                <w:sz w:val="24"/>
              </w:rPr>
              <w:t>Kingston New Scheme (Storm Water)</w:t>
            </w:r>
          </w:p>
        </w:tc>
        <w:tc>
          <w:tcPr>
            <w:tcW w:w="2835" w:type="dxa"/>
            <w:shd w:val="clear" w:color="auto" w:fill="FFFFFF" w:themeFill="background1"/>
          </w:tcPr>
          <w:p w14:paraId="2EFF64AC" w14:textId="2DAC63AA" w:rsidR="00CF5FBF" w:rsidRPr="00D75692" w:rsidRDefault="00CF5FBF" w:rsidP="009512FB">
            <w:pPr>
              <w:jc w:val="right"/>
              <w:rPr>
                <w:rFonts w:cs="HelveticaNeueLT Std"/>
                <w:sz w:val="18"/>
                <w:szCs w:val="18"/>
              </w:rPr>
            </w:pPr>
            <w:r w:rsidRPr="00E641B6">
              <w:rPr>
                <w:sz w:val="24"/>
              </w:rPr>
              <w:t xml:space="preserve"> $1,998,189 </w:t>
            </w:r>
          </w:p>
        </w:tc>
      </w:tr>
      <w:tr w:rsidR="00CF5FBF" w:rsidRPr="00D75692" w14:paraId="106334A6" w14:textId="77777777" w:rsidTr="00CF5FBF">
        <w:trPr>
          <w:cantSplit/>
          <w:trHeight w:val="15"/>
        </w:trPr>
        <w:tc>
          <w:tcPr>
            <w:tcW w:w="6658" w:type="dxa"/>
            <w:shd w:val="clear" w:color="auto" w:fill="FFFFFF" w:themeFill="background1"/>
          </w:tcPr>
          <w:p w14:paraId="32DFD9FA" w14:textId="49782ECC" w:rsidR="00CF5FBF" w:rsidRPr="00D75692" w:rsidRDefault="00CF5FBF" w:rsidP="00CF5FBF">
            <w:pPr>
              <w:rPr>
                <w:rFonts w:cs="HelveticaNeueLT Std"/>
                <w:sz w:val="18"/>
                <w:szCs w:val="18"/>
              </w:rPr>
            </w:pPr>
            <w:proofErr w:type="spellStart"/>
            <w:r w:rsidRPr="00E641B6">
              <w:rPr>
                <w:sz w:val="24"/>
              </w:rPr>
              <w:t>Shotover</w:t>
            </w:r>
            <w:proofErr w:type="spellEnd"/>
            <w:r w:rsidRPr="00E641B6">
              <w:rPr>
                <w:sz w:val="24"/>
              </w:rPr>
              <w:t xml:space="preserve"> Disposal Field (Wastewater)</w:t>
            </w:r>
          </w:p>
        </w:tc>
        <w:tc>
          <w:tcPr>
            <w:tcW w:w="2835" w:type="dxa"/>
            <w:shd w:val="clear" w:color="auto" w:fill="FFFFFF" w:themeFill="background1"/>
          </w:tcPr>
          <w:p w14:paraId="50BA267C" w14:textId="22A8313C" w:rsidR="00CF5FBF" w:rsidRPr="00D75692" w:rsidRDefault="00CF5FBF" w:rsidP="009512FB">
            <w:pPr>
              <w:jc w:val="right"/>
              <w:rPr>
                <w:rFonts w:cs="HelveticaNeueLT Std"/>
                <w:sz w:val="18"/>
                <w:szCs w:val="18"/>
              </w:rPr>
            </w:pPr>
            <w:r w:rsidRPr="00E641B6">
              <w:rPr>
                <w:sz w:val="24"/>
              </w:rPr>
              <w:t xml:space="preserve"> $1,987,026 </w:t>
            </w:r>
          </w:p>
        </w:tc>
      </w:tr>
      <w:tr w:rsidR="00CF5FBF" w:rsidRPr="00D75692" w14:paraId="53510730" w14:textId="77777777" w:rsidTr="00CF5FBF">
        <w:trPr>
          <w:cantSplit/>
          <w:trHeight w:val="15"/>
        </w:trPr>
        <w:tc>
          <w:tcPr>
            <w:tcW w:w="6658" w:type="dxa"/>
            <w:shd w:val="clear" w:color="auto" w:fill="FFFFFF" w:themeFill="background1"/>
          </w:tcPr>
          <w:p w14:paraId="17FD4DBB" w14:textId="29759E92" w:rsidR="00CF5FBF" w:rsidRPr="00D75692" w:rsidRDefault="00CF5FBF" w:rsidP="00CF5FBF">
            <w:pPr>
              <w:rPr>
                <w:rFonts w:cs="HelveticaNeueLT Std"/>
                <w:sz w:val="18"/>
                <w:szCs w:val="18"/>
              </w:rPr>
            </w:pPr>
            <w:r w:rsidRPr="00E641B6">
              <w:rPr>
                <w:sz w:val="24"/>
              </w:rPr>
              <w:t>Coronet Forest Revegetation</w:t>
            </w:r>
          </w:p>
        </w:tc>
        <w:tc>
          <w:tcPr>
            <w:tcW w:w="2835" w:type="dxa"/>
            <w:shd w:val="clear" w:color="auto" w:fill="FFFFFF" w:themeFill="background1"/>
          </w:tcPr>
          <w:p w14:paraId="6B9BCE94" w14:textId="2050FD5D" w:rsidR="00CF5FBF" w:rsidRPr="00D75692" w:rsidRDefault="00CF5FBF" w:rsidP="009512FB">
            <w:pPr>
              <w:jc w:val="right"/>
              <w:rPr>
                <w:rFonts w:cs="HelveticaNeueLT Std"/>
                <w:sz w:val="18"/>
                <w:szCs w:val="18"/>
              </w:rPr>
            </w:pPr>
            <w:r w:rsidRPr="00E641B6">
              <w:rPr>
                <w:sz w:val="24"/>
              </w:rPr>
              <w:t xml:space="preserve"> $1,927,482 </w:t>
            </w:r>
          </w:p>
        </w:tc>
      </w:tr>
      <w:tr w:rsidR="00CF5FBF" w:rsidRPr="00D75692" w14:paraId="5F45AD50" w14:textId="77777777" w:rsidTr="00CF5FBF">
        <w:trPr>
          <w:cantSplit/>
          <w:trHeight w:val="15"/>
        </w:trPr>
        <w:tc>
          <w:tcPr>
            <w:tcW w:w="6658" w:type="dxa"/>
            <w:shd w:val="clear" w:color="auto" w:fill="FFFFFF" w:themeFill="background1"/>
          </w:tcPr>
          <w:p w14:paraId="11A25BF3" w14:textId="5E14A6B6" w:rsidR="00CF5FBF" w:rsidRPr="00D75692" w:rsidRDefault="00CF5FBF" w:rsidP="00CF5FBF">
            <w:pPr>
              <w:rPr>
                <w:rFonts w:cs="HelveticaNeueLT Std"/>
                <w:sz w:val="18"/>
                <w:szCs w:val="18"/>
              </w:rPr>
            </w:pPr>
            <w:r w:rsidRPr="00E641B6">
              <w:rPr>
                <w:sz w:val="24"/>
              </w:rPr>
              <w:t xml:space="preserve">Sealed Road Resurfacing - </w:t>
            </w:r>
            <w:proofErr w:type="spellStart"/>
            <w:r w:rsidRPr="00E641B6">
              <w:rPr>
                <w:sz w:val="24"/>
              </w:rPr>
              <w:t>Whakatipu</w:t>
            </w:r>
            <w:proofErr w:type="spellEnd"/>
            <w:r w:rsidRPr="00E641B6">
              <w:rPr>
                <w:sz w:val="24"/>
              </w:rPr>
              <w:t xml:space="preserve"> (Transport)</w:t>
            </w:r>
          </w:p>
        </w:tc>
        <w:tc>
          <w:tcPr>
            <w:tcW w:w="2835" w:type="dxa"/>
            <w:shd w:val="clear" w:color="auto" w:fill="FFFFFF" w:themeFill="background1"/>
          </w:tcPr>
          <w:p w14:paraId="1CAE2171" w14:textId="594C6A5C" w:rsidR="00CF5FBF" w:rsidRPr="00D75692" w:rsidRDefault="00CF5FBF" w:rsidP="009512FB">
            <w:pPr>
              <w:jc w:val="right"/>
              <w:rPr>
                <w:rFonts w:cs="HelveticaNeueLT Std"/>
                <w:sz w:val="18"/>
                <w:szCs w:val="18"/>
              </w:rPr>
            </w:pPr>
            <w:r w:rsidRPr="00E641B6">
              <w:rPr>
                <w:sz w:val="24"/>
              </w:rPr>
              <w:t xml:space="preserve"> $1,825,094 </w:t>
            </w:r>
          </w:p>
        </w:tc>
      </w:tr>
      <w:tr w:rsidR="00CF5FBF" w:rsidRPr="00D75692" w14:paraId="7039DFC5" w14:textId="77777777" w:rsidTr="00CF5FBF">
        <w:trPr>
          <w:cantSplit/>
          <w:trHeight w:val="15"/>
        </w:trPr>
        <w:tc>
          <w:tcPr>
            <w:tcW w:w="6658" w:type="dxa"/>
            <w:shd w:val="clear" w:color="auto" w:fill="FFFFFF" w:themeFill="background1"/>
          </w:tcPr>
          <w:p w14:paraId="4649768C" w14:textId="639927E2" w:rsidR="00CF5FBF" w:rsidRPr="00D75692" w:rsidRDefault="00CF5FBF" w:rsidP="00CF5FBF">
            <w:pPr>
              <w:rPr>
                <w:rFonts w:cs="HelveticaNeueLT Std"/>
                <w:sz w:val="18"/>
                <w:szCs w:val="18"/>
              </w:rPr>
            </w:pPr>
            <w:r w:rsidRPr="00E641B6">
              <w:rPr>
                <w:sz w:val="24"/>
              </w:rPr>
              <w:t xml:space="preserve">Sealed Road Rehabs - </w:t>
            </w:r>
            <w:proofErr w:type="spellStart"/>
            <w:r w:rsidRPr="00E641B6">
              <w:rPr>
                <w:sz w:val="24"/>
              </w:rPr>
              <w:t>Wānaka</w:t>
            </w:r>
            <w:proofErr w:type="spellEnd"/>
            <w:r w:rsidRPr="00E641B6">
              <w:rPr>
                <w:sz w:val="24"/>
              </w:rPr>
              <w:t xml:space="preserve"> (Transport)</w:t>
            </w:r>
          </w:p>
        </w:tc>
        <w:tc>
          <w:tcPr>
            <w:tcW w:w="2835" w:type="dxa"/>
            <w:shd w:val="clear" w:color="auto" w:fill="FFFFFF" w:themeFill="background1"/>
          </w:tcPr>
          <w:p w14:paraId="0B55A8D0" w14:textId="059BE87D" w:rsidR="00CF5FBF" w:rsidRPr="00D75692" w:rsidRDefault="00CF5FBF" w:rsidP="009512FB">
            <w:pPr>
              <w:jc w:val="right"/>
              <w:rPr>
                <w:rFonts w:cs="HelveticaNeueLT Std"/>
                <w:sz w:val="18"/>
                <w:szCs w:val="18"/>
              </w:rPr>
            </w:pPr>
            <w:r w:rsidRPr="00E641B6">
              <w:rPr>
                <w:sz w:val="24"/>
              </w:rPr>
              <w:t xml:space="preserve"> $1,747,299 </w:t>
            </w:r>
          </w:p>
        </w:tc>
      </w:tr>
      <w:tr w:rsidR="00CF5FBF" w:rsidRPr="00D75692" w14:paraId="5E44714D" w14:textId="77777777" w:rsidTr="00CF5FBF">
        <w:trPr>
          <w:cantSplit/>
          <w:trHeight w:val="15"/>
        </w:trPr>
        <w:tc>
          <w:tcPr>
            <w:tcW w:w="6658" w:type="dxa"/>
            <w:shd w:val="clear" w:color="auto" w:fill="FFFFFF" w:themeFill="background1"/>
          </w:tcPr>
          <w:p w14:paraId="69250B12" w14:textId="4932BFA7" w:rsidR="00CF5FBF" w:rsidRPr="00D75692" w:rsidRDefault="00CF5FBF" w:rsidP="00CF5FBF">
            <w:pPr>
              <w:rPr>
                <w:rFonts w:cs="HelveticaNeueLT Std"/>
                <w:sz w:val="18"/>
                <w:szCs w:val="18"/>
              </w:rPr>
            </w:pPr>
            <w:r w:rsidRPr="00E641B6">
              <w:rPr>
                <w:sz w:val="24"/>
              </w:rPr>
              <w:t xml:space="preserve">Sealed Road Resurfacing - </w:t>
            </w:r>
            <w:proofErr w:type="spellStart"/>
            <w:r w:rsidRPr="00E641B6">
              <w:rPr>
                <w:sz w:val="24"/>
              </w:rPr>
              <w:t>Wānaka</w:t>
            </w:r>
            <w:proofErr w:type="spellEnd"/>
            <w:r w:rsidRPr="00E641B6">
              <w:rPr>
                <w:sz w:val="24"/>
              </w:rPr>
              <w:t xml:space="preserve"> (Transport)</w:t>
            </w:r>
          </w:p>
        </w:tc>
        <w:tc>
          <w:tcPr>
            <w:tcW w:w="2835" w:type="dxa"/>
            <w:shd w:val="clear" w:color="auto" w:fill="FFFFFF" w:themeFill="background1"/>
          </w:tcPr>
          <w:p w14:paraId="4D26A2E8" w14:textId="3AEF4502" w:rsidR="00CF5FBF" w:rsidRPr="00D75692" w:rsidRDefault="00CF5FBF" w:rsidP="009512FB">
            <w:pPr>
              <w:jc w:val="right"/>
              <w:rPr>
                <w:rFonts w:cs="HelveticaNeueLT Std"/>
                <w:sz w:val="18"/>
                <w:szCs w:val="18"/>
              </w:rPr>
            </w:pPr>
            <w:r w:rsidRPr="00E641B6">
              <w:rPr>
                <w:sz w:val="24"/>
              </w:rPr>
              <w:t xml:space="preserve"> $1,702,998 </w:t>
            </w:r>
          </w:p>
        </w:tc>
      </w:tr>
      <w:tr w:rsidR="00CF5FBF" w:rsidRPr="00D75692" w14:paraId="36209D97" w14:textId="77777777" w:rsidTr="00CF5FBF">
        <w:trPr>
          <w:cantSplit/>
          <w:trHeight w:val="15"/>
        </w:trPr>
        <w:tc>
          <w:tcPr>
            <w:tcW w:w="6658" w:type="dxa"/>
            <w:shd w:val="clear" w:color="auto" w:fill="FFFFFF" w:themeFill="background1"/>
          </w:tcPr>
          <w:p w14:paraId="74C849C1" w14:textId="08372151" w:rsidR="00CF5FBF" w:rsidRPr="00D75692" w:rsidRDefault="00CF5FBF" w:rsidP="00CF5FBF">
            <w:pPr>
              <w:rPr>
                <w:rFonts w:cs="HelveticaNeueLT Std"/>
                <w:sz w:val="18"/>
                <w:szCs w:val="18"/>
              </w:rPr>
            </w:pPr>
            <w:r w:rsidRPr="00E641B6">
              <w:rPr>
                <w:sz w:val="24"/>
              </w:rPr>
              <w:t>Renewals - Queenstown (Wastewater)</w:t>
            </w:r>
          </w:p>
        </w:tc>
        <w:tc>
          <w:tcPr>
            <w:tcW w:w="2835" w:type="dxa"/>
            <w:shd w:val="clear" w:color="auto" w:fill="FFFFFF" w:themeFill="background1"/>
          </w:tcPr>
          <w:p w14:paraId="42C2616E" w14:textId="4605CDC2" w:rsidR="00CF5FBF" w:rsidRPr="00D75692" w:rsidRDefault="00CF5FBF" w:rsidP="009512FB">
            <w:pPr>
              <w:jc w:val="right"/>
              <w:rPr>
                <w:rFonts w:cs="HelveticaNeueLT Std"/>
                <w:sz w:val="18"/>
                <w:szCs w:val="18"/>
              </w:rPr>
            </w:pPr>
            <w:r w:rsidRPr="00E641B6">
              <w:rPr>
                <w:sz w:val="24"/>
              </w:rPr>
              <w:t xml:space="preserve"> $1,684,794 </w:t>
            </w:r>
          </w:p>
        </w:tc>
      </w:tr>
      <w:tr w:rsidR="00CF5FBF" w:rsidRPr="00D75692" w14:paraId="732E0B51" w14:textId="77777777" w:rsidTr="00CF5FBF">
        <w:trPr>
          <w:cantSplit/>
          <w:trHeight w:val="15"/>
        </w:trPr>
        <w:tc>
          <w:tcPr>
            <w:tcW w:w="6658" w:type="dxa"/>
            <w:shd w:val="clear" w:color="auto" w:fill="FFFFFF" w:themeFill="background1"/>
          </w:tcPr>
          <w:p w14:paraId="4D645ECD" w14:textId="67B36131" w:rsidR="00CF5FBF" w:rsidRPr="00D75692" w:rsidRDefault="00CF5FBF" w:rsidP="00CF5FBF">
            <w:pPr>
              <w:rPr>
                <w:rFonts w:cs="HelveticaNeueLT Std"/>
                <w:sz w:val="18"/>
                <w:szCs w:val="18"/>
              </w:rPr>
            </w:pPr>
            <w:r w:rsidRPr="00E641B6">
              <w:rPr>
                <w:sz w:val="24"/>
              </w:rPr>
              <w:t>Minor Improvements - Upper Clutha (Transport)</w:t>
            </w:r>
          </w:p>
        </w:tc>
        <w:tc>
          <w:tcPr>
            <w:tcW w:w="2835" w:type="dxa"/>
            <w:shd w:val="clear" w:color="auto" w:fill="FFFFFF" w:themeFill="background1"/>
          </w:tcPr>
          <w:p w14:paraId="1E95C833" w14:textId="67A48D35" w:rsidR="00CF5FBF" w:rsidRPr="00D75692" w:rsidRDefault="00CF5FBF" w:rsidP="009512FB">
            <w:pPr>
              <w:jc w:val="right"/>
              <w:rPr>
                <w:rFonts w:cs="HelveticaNeueLT Std"/>
                <w:sz w:val="18"/>
                <w:szCs w:val="18"/>
              </w:rPr>
            </w:pPr>
            <w:r w:rsidRPr="00E641B6">
              <w:rPr>
                <w:sz w:val="24"/>
              </w:rPr>
              <w:t xml:space="preserve"> $1,325,104 </w:t>
            </w:r>
          </w:p>
        </w:tc>
      </w:tr>
      <w:tr w:rsidR="00CF5FBF" w:rsidRPr="00D75692" w14:paraId="403E7902" w14:textId="77777777" w:rsidTr="00CF5FBF">
        <w:trPr>
          <w:cantSplit/>
          <w:trHeight w:val="15"/>
        </w:trPr>
        <w:tc>
          <w:tcPr>
            <w:tcW w:w="6658" w:type="dxa"/>
            <w:shd w:val="clear" w:color="auto" w:fill="FFFFFF" w:themeFill="background1"/>
          </w:tcPr>
          <w:p w14:paraId="04ED321D" w14:textId="2ECA267D" w:rsidR="00CF5FBF" w:rsidRPr="00D75692" w:rsidRDefault="00CF5FBF" w:rsidP="00CF5FBF">
            <w:pPr>
              <w:rPr>
                <w:rFonts w:cs="HelveticaNeueLT Std"/>
                <w:sz w:val="18"/>
                <w:szCs w:val="18"/>
              </w:rPr>
            </w:pPr>
            <w:r w:rsidRPr="00E641B6">
              <w:rPr>
                <w:sz w:val="24"/>
              </w:rPr>
              <w:t>Queenstown Street Upgrades - CIP</w:t>
            </w:r>
          </w:p>
        </w:tc>
        <w:tc>
          <w:tcPr>
            <w:tcW w:w="2835" w:type="dxa"/>
            <w:shd w:val="clear" w:color="auto" w:fill="FFFFFF" w:themeFill="background1"/>
          </w:tcPr>
          <w:p w14:paraId="1AA82920" w14:textId="1C334308" w:rsidR="00CF5FBF" w:rsidRPr="00D75692" w:rsidRDefault="00CF5FBF" w:rsidP="009512FB">
            <w:pPr>
              <w:jc w:val="right"/>
              <w:rPr>
                <w:rFonts w:cs="HelveticaNeueLT Std"/>
                <w:sz w:val="18"/>
                <w:szCs w:val="18"/>
              </w:rPr>
            </w:pPr>
            <w:r w:rsidRPr="00E641B6">
              <w:rPr>
                <w:sz w:val="24"/>
              </w:rPr>
              <w:t xml:space="preserve"> $1,209,405 </w:t>
            </w:r>
          </w:p>
        </w:tc>
      </w:tr>
      <w:tr w:rsidR="00CF5FBF" w:rsidRPr="00D75692" w14:paraId="33C0A3F9" w14:textId="77777777" w:rsidTr="00CF5FBF">
        <w:trPr>
          <w:cantSplit/>
          <w:trHeight w:val="15"/>
        </w:trPr>
        <w:tc>
          <w:tcPr>
            <w:tcW w:w="6658" w:type="dxa"/>
            <w:shd w:val="clear" w:color="auto" w:fill="FFFFFF" w:themeFill="background1"/>
          </w:tcPr>
          <w:p w14:paraId="2732E8AE" w14:textId="759F5787" w:rsidR="00CF5FBF" w:rsidRPr="00D75692" w:rsidRDefault="00CF5FBF" w:rsidP="00CF5FBF">
            <w:pPr>
              <w:rPr>
                <w:rFonts w:cs="HelveticaNeueLT Std"/>
                <w:sz w:val="18"/>
                <w:szCs w:val="18"/>
              </w:rPr>
            </w:pPr>
            <w:r w:rsidRPr="00E641B6">
              <w:rPr>
                <w:sz w:val="24"/>
              </w:rPr>
              <w:t>Demand Management - Hāwea (Water Supply)</w:t>
            </w:r>
          </w:p>
        </w:tc>
        <w:tc>
          <w:tcPr>
            <w:tcW w:w="2835" w:type="dxa"/>
            <w:shd w:val="clear" w:color="auto" w:fill="FFFFFF" w:themeFill="background1"/>
          </w:tcPr>
          <w:p w14:paraId="671535DF" w14:textId="7CEDDD23" w:rsidR="00CF5FBF" w:rsidRPr="00D75692" w:rsidRDefault="00CF5FBF" w:rsidP="009512FB">
            <w:pPr>
              <w:jc w:val="right"/>
              <w:rPr>
                <w:rFonts w:cs="HelveticaNeueLT Std"/>
                <w:sz w:val="18"/>
                <w:szCs w:val="18"/>
              </w:rPr>
            </w:pPr>
            <w:r w:rsidRPr="00E641B6">
              <w:rPr>
                <w:sz w:val="24"/>
              </w:rPr>
              <w:t xml:space="preserve"> $1,184,649 </w:t>
            </w:r>
          </w:p>
        </w:tc>
      </w:tr>
      <w:tr w:rsidR="00CF5FBF" w:rsidRPr="00D75692" w14:paraId="2FCCEF76" w14:textId="77777777" w:rsidTr="00CF5FBF">
        <w:trPr>
          <w:cantSplit/>
          <w:trHeight w:val="15"/>
        </w:trPr>
        <w:tc>
          <w:tcPr>
            <w:tcW w:w="6658" w:type="dxa"/>
            <w:shd w:val="clear" w:color="auto" w:fill="FFFFFF" w:themeFill="background1"/>
          </w:tcPr>
          <w:p w14:paraId="7A061A5E" w14:textId="4C4974BC" w:rsidR="00CF5FBF" w:rsidRPr="00D75692" w:rsidRDefault="00CF5FBF" w:rsidP="00CF5FBF">
            <w:pPr>
              <w:rPr>
                <w:rFonts w:cs="HelveticaNeueLT Std"/>
                <w:sz w:val="18"/>
                <w:szCs w:val="18"/>
              </w:rPr>
            </w:pPr>
            <w:proofErr w:type="spellStart"/>
            <w:r w:rsidRPr="00E641B6">
              <w:rPr>
                <w:sz w:val="24"/>
              </w:rPr>
              <w:t>Wānaka</w:t>
            </w:r>
            <w:proofErr w:type="spellEnd"/>
            <w:r w:rsidRPr="00E641B6">
              <w:rPr>
                <w:sz w:val="24"/>
              </w:rPr>
              <w:t xml:space="preserve"> Pool to School Active Travel (Transport)</w:t>
            </w:r>
          </w:p>
        </w:tc>
        <w:tc>
          <w:tcPr>
            <w:tcW w:w="2835" w:type="dxa"/>
            <w:shd w:val="clear" w:color="auto" w:fill="FFFFFF" w:themeFill="background1"/>
          </w:tcPr>
          <w:p w14:paraId="572E8C65" w14:textId="3910353A" w:rsidR="00CF5FBF" w:rsidRPr="00D75692" w:rsidRDefault="00CF5FBF" w:rsidP="009512FB">
            <w:pPr>
              <w:jc w:val="right"/>
              <w:rPr>
                <w:rFonts w:cs="HelveticaNeueLT Std"/>
                <w:sz w:val="18"/>
                <w:szCs w:val="18"/>
              </w:rPr>
            </w:pPr>
            <w:r w:rsidRPr="00E641B6">
              <w:rPr>
                <w:sz w:val="24"/>
              </w:rPr>
              <w:t xml:space="preserve"> $1,179,331 </w:t>
            </w:r>
          </w:p>
        </w:tc>
      </w:tr>
      <w:tr w:rsidR="00CF5FBF" w:rsidRPr="00D75692" w14:paraId="4BB04448" w14:textId="77777777" w:rsidTr="00CF5FBF">
        <w:trPr>
          <w:cantSplit/>
          <w:trHeight w:val="15"/>
        </w:trPr>
        <w:tc>
          <w:tcPr>
            <w:tcW w:w="6658" w:type="dxa"/>
            <w:shd w:val="clear" w:color="auto" w:fill="FFFFFF" w:themeFill="background1"/>
          </w:tcPr>
          <w:p w14:paraId="17A7944E" w14:textId="5281BC62" w:rsidR="00CF5FBF" w:rsidRPr="00D75692" w:rsidRDefault="00CF5FBF" w:rsidP="00CF5FBF">
            <w:pPr>
              <w:rPr>
                <w:rFonts w:cs="HelveticaNeueLT Std"/>
                <w:sz w:val="18"/>
                <w:szCs w:val="18"/>
              </w:rPr>
            </w:pPr>
            <w:r w:rsidRPr="00E641B6">
              <w:rPr>
                <w:sz w:val="24"/>
              </w:rPr>
              <w:t>Minor Improvements Upper Clutha TR unsub</w:t>
            </w:r>
          </w:p>
        </w:tc>
        <w:tc>
          <w:tcPr>
            <w:tcW w:w="2835" w:type="dxa"/>
            <w:shd w:val="clear" w:color="auto" w:fill="FFFFFF" w:themeFill="background1"/>
          </w:tcPr>
          <w:p w14:paraId="12F13CA5" w14:textId="7273B12B" w:rsidR="00CF5FBF" w:rsidRPr="00D75692" w:rsidRDefault="00CF5FBF" w:rsidP="009512FB">
            <w:pPr>
              <w:jc w:val="right"/>
              <w:rPr>
                <w:rFonts w:cs="HelveticaNeueLT Std"/>
                <w:sz w:val="18"/>
                <w:szCs w:val="18"/>
              </w:rPr>
            </w:pPr>
            <w:r w:rsidRPr="00E641B6">
              <w:rPr>
                <w:sz w:val="24"/>
              </w:rPr>
              <w:t xml:space="preserve"> $1,146,896 </w:t>
            </w:r>
          </w:p>
        </w:tc>
      </w:tr>
      <w:tr w:rsidR="00CF5FBF" w:rsidRPr="00D75692" w14:paraId="0D519680" w14:textId="77777777" w:rsidTr="00CF5FBF">
        <w:trPr>
          <w:cantSplit/>
          <w:trHeight w:val="15"/>
        </w:trPr>
        <w:tc>
          <w:tcPr>
            <w:tcW w:w="6658" w:type="dxa"/>
            <w:shd w:val="clear" w:color="auto" w:fill="FFFFFF" w:themeFill="background1"/>
          </w:tcPr>
          <w:p w14:paraId="32E46018" w14:textId="5B60C44B" w:rsidR="00CF5FBF" w:rsidRPr="00D75692" w:rsidRDefault="00CF5FBF" w:rsidP="00CF5FBF">
            <w:pPr>
              <w:rPr>
                <w:rFonts w:cs="HelveticaNeueLT Std"/>
                <w:sz w:val="18"/>
                <w:szCs w:val="18"/>
              </w:rPr>
            </w:pPr>
            <w:r w:rsidRPr="00E641B6">
              <w:rPr>
                <w:sz w:val="24"/>
              </w:rPr>
              <w:t xml:space="preserve">Unsealed Road Metalling - </w:t>
            </w:r>
            <w:proofErr w:type="spellStart"/>
            <w:r w:rsidRPr="00E641B6">
              <w:rPr>
                <w:sz w:val="24"/>
              </w:rPr>
              <w:t>Wānaka</w:t>
            </w:r>
            <w:proofErr w:type="spellEnd"/>
            <w:r w:rsidRPr="00E641B6">
              <w:rPr>
                <w:sz w:val="24"/>
              </w:rPr>
              <w:t xml:space="preserve"> (Transport)</w:t>
            </w:r>
          </w:p>
        </w:tc>
        <w:tc>
          <w:tcPr>
            <w:tcW w:w="2835" w:type="dxa"/>
            <w:shd w:val="clear" w:color="auto" w:fill="FFFFFF" w:themeFill="background1"/>
          </w:tcPr>
          <w:p w14:paraId="7E47388E" w14:textId="2A574CE3" w:rsidR="00CF5FBF" w:rsidRPr="00D75692" w:rsidRDefault="00CF5FBF" w:rsidP="009512FB">
            <w:pPr>
              <w:jc w:val="right"/>
              <w:rPr>
                <w:rFonts w:cs="HelveticaNeueLT Std"/>
                <w:sz w:val="18"/>
                <w:szCs w:val="18"/>
              </w:rPr>
            </w:pPr>
            <w:r w:rsidRPr="00E641B6">
              <w:rPr>
                <w:sz w:val="24"/>
              </w:rPr>
              <w:t xml:space="preserve"> $1,116,656 </w:t>
            </w:r>
          </w:p>
        </w:tc>
      </w:tr>
      <w:tr w:rsidR="00CF5FBF" w:rsidRPr="00D75692" w14:paraId="7DA9A9FB" w14:textId="77777777" w:rsidTr="00CF5FBF">
        <w:trPr>
          <w:cantSplit/>
          <w:trHeight w:val="15"/>
        </w:trPr>
        <w:tc>
          <w:tcPr>
            <w:tcW w:w="6658" w:type="dxa"/>
            <w:shd w:val="clear" w:color="auto" w:fill="FFFFFF" w:themeFill="background1"/>
          </w:tcPr>
          <w:p w14:paraId="5E68BB4B" w14:textId="722D598F" w:rsidR="00CF5FBF" w:rsidRPr="00D75692" w:rsidRDefault="00CF5FBF" w:rsidP="00CF5FBF">
            <w:pPr>
              <w:rPr>
                <w:rFonts w:cs="HelveticaNeueLT Std"/>
                <w:sz w:val="18"/>
                <w:szCs w:val="18"/>
              </w:rPr>
            </w:pPr>
            <w:r w:rsidRPr="00E641B6">
              <w:rPr>
                <w:sz w:val="24"/>
              </w:rPr>
              <w:t>CBD to Frankton Conveyance (Wastewater)</w:t>
            </w:r>
          </w:p>
        </w:tc>
        <w:tc>
          <w:tcPr>
            <w:tcW w:w="2835" w:type="dxa"/>
            <w:shd w:val="clear" w:color="auto" w:fill="FFFFFF" w:themeFill="background1"/>
          </w:tcPr>
          <w:p w14:paraId="72E6070E" w14:textId="50D1AC86" w:rsidR="00CF5FBF" w:rsidRPr="00D75692" w:rsidRDefault="00CF5FBF" w:rsidP="009512FB">
            <w:pPr>
              <w:jc w:val="right"/>
              <w:rPr>
                <w:rFonts w:cs="HelveticaNeueLT Std"/>
                <w:sz w:val="18"/>
                <w:szCs w:val="18"/>
              </w:rPr>
            </w:pPr>
            <w:r w:rsidRPr="00E641B6">
              <w:rPr>
                <w:sz w:val="24"/>
              </w:rPr>
              <w:t xml:space="preserve"> $979,475 </w:t>
            </w:r>
          </w:p>
        </w:tc>
      </w:tr>
      <w:tr w:rsidR="00CF5FBF" w:rsidRPr="00D75692" w14:paraId="32EADF5E" w14:textId="77777777" w:rsidTr="00CF5FBF">
        <w:trPr>
          <w:cantSplit/>
          <w:trHeight w:val="15"/>
        </w:trPr>
        <w:tc>
          <w:tcPr>
            <w:tcW w:w="6658" w:type="dxa"/>
            <w:shd w:val="clear" w:color="auto" w:fill="FFFFFF" w:themeFill="background1"/>
          </w:tcPr>
          <w:p w14:paraId="1CC65A4B" w14:textId="16D467F9" w:rsidR="00CF5FBF" w:rsidRPr="00D75692" w:rsidRDefault="00CF5FBF" w:rsidP="00CF5FBF">
            <w:pPr>
              <w:rPr>
                <w:rFonts w:cs="HelveticaNeueLT Std"/>
                <w:sz w:val="18"/>
                <w:szCs w:val="18"/>
              </w:rPr>
            </w:pPr>
            <w:proofErr w:type="spellStart"/>
            <w:r w:rsidRPr="00E641B6">
              <w:rPr>
                <w:sz w:val="24"/>
              </w:rPr>
              <w:t>Hanleys</w:t>
            </w:r>
            <w:proofErr w:type="spellEnd"/>
            <w:r w:rsidRPr="00E641B6">
              <w:rPr>
                <w:sz w:val="24"/>
              </w:rPr>
              <w:t xml:space="preserve"> Farm Pump Station (Wastewater)</w:t>
            </w:r>
          </w:p>
        </w:tc>
        <w:tc>
          <w:tcPr>
            <w:tcW w:w="2835" w:type="dxa"/>
            <w:shd w:val="clear" w:color="auto" w:fill="FFFFFF" w:themeFill="background1"/>
          </w:tcPr>
          <w:p w14:paraId="0082BF20" w14:textId="6DA58662" w:rsidR="00CF5FBF" w:rsidRPr="00D75692" w:rsidRDefault="00CF5FBF" w:rsidP="009512FB">
            <w:pPr>
              <w:jc w:val="right"/>
              <w:rPr>
                <w:rFonts w:cs="HelveticaNeueLT Std"/>
                <w:sz w:val="18"/>
                <w:szCs w:val="18"/>
              </w:rPr>
            </w:pPr>
            <w:r w:rsidRPr="00E641B6">
              <w:rPr>
                <w:sz w:val="24"/>
              </w:rPr>
              <w:t xml:space="preserve"> $974,511 </w:t>
            </w:r>
          </w:p>
        </w:tc>
      </w:tr>
      <w:tr w:rsidR="00CF5FBF" w:rsidRPr="00D75692" w14:paraId="0AC0BFE6" w14:textId="77777777" w:rsidTr="00CF5FBF">
        <w:trPr>
          <w:cantSplit/>
          <w:trHeight w:val="15"/>
        </w:trPr>
        <w:tc>
          <w:tcPr>
            <w:tcW w:w="6658" w:type="dxa"/>
            <w:shd w:val="clear" w:color="auto" w:fill="FFFFFF" w:themeFill="background1"/>
          </w:tcPr>
          <w:p w14:paraId="322DC302" w14:textId="02215005" w:rsidR="00CF5FBF" w:rsidRPr="00D75692" w:rsidRDefault="00CF5FBF" w:rsidP="00CF5FBF">
            <w:pPr>
              <w:rPr>
                <w:rFonts w:cs="HelveticaNeueLT Std"/>
                <w:sz w:val="18"/>
                <w:szCs w:val="18"/>
              </w:rPr>
            </w:pPr>
            <w:proofErr w:type="spellStart"/>
            <w:r w:rsidRPr="00E641B6">
              <w:rPr>
                <w:sz w:val="24"/>
              </w:rPr>
              <w:lastRenderedPageBreak/>
              <w:t>Wānaka</w:t>
            </w:r>
            <w:proofErr w:type="spellEnd"/>
            <w:r w:rsidRPr="00E641B6">
              <w:rPr>
                <w:sz w:val="24"/>
              </w:rPr>
              <w:t xml:space="preserve"> Lakefront Development Plan Stage 5</w:t>
            </w:r>
          </w:p>
        </w:tc>
        <w:tc>
          <w:tcPr>
            <w:tcW w:w="2835" w:type="dxa"/>
            <w:shd w:val="clear" w:color="auto" w:fill="FFFFFF" w:themeFill="background1"/>
          </w:tcPr>
          <w:p w14:paraId="209EE4EB" w14:textId="53079161" w:rsidR="00CF5FBF" w:rsidRPr="00D75692" w:rsidRDefault="00CF5FBF" w:rsidP="009512FB">
            <w:pPr>
              <w:jc w:val="right"/>
              <w:rPr>
                <w:rFonts w:cs="HelveticaNeueLT Std"/>
                <w:sz w:val="18"/>
                <w:szCs w:val="18"/>
              </w:rPr>
            </w:pPr>
            <w:r w:rsidRPr="00E641B6">
              <w:rPr>
                <w:sz w:val="24"/>
              </w:rPr>
              <w:t xml:space="preserve"> $967,190 </w:t>
            </w:r>
          </w:p>
        </w:tc>
      </w:tr>
      <w:tr w:rsidR="00CF5FBF" w:rsidRPr="00D75692" w14:paraId="2409A897" w14:textId="77777777" w:rsidTr="00CF5FBF">
        <w:trPr>
          <w:cantSplit/>
          <w:trHeight w:val="15"/>
        </w:trPr>
        <w:tc>
          <w:tcPr>
            <w:tcW w:w="6658" w:type="dxa"/>
            <w:shd w:val="clear" w:color="auto" w:fill="FFFFFF" w:themeFill="background1"/>
          </w:tcPr>
          <w:p w14:paraId="4811E0AD" w14:textId="64610D9B" w:rsidR="00CF5FBF" w:rsidRPr="00D75692" w:rsidRDefault="00CF5FBF" w:rsidP="00CF5FBF">
            <w:pPr>
              <w:rPr>
                <w:rFonts w:cs="HelveticaNeueLT Std"/>
                <w:sz w:val="18"/>
                <w:szCs w:val="18"/>
              </w:rPr>
            </w:pPr>
            <w:proofErr w:type="spellStart"/>
            <w:r w:rsidRPr="00E641B6">
              <w:rPr>
                <w:sz w:val="24"/>
              </w:rPr>
              <w:t>Glenorchy</w:t>
            </w:r>
            <w:proofErr w:type="spellEnd"/>
            <w:r w:rsidRPr="00E641B6">
              <w:rPr>
                <w:sz w:val="24"/>
              </w:rPr>
              <w:t xml:space="preserve"> Carpark &amp; Marina Improvements</w:t>
            </w:r>
          </w:p>
        </w:tc>
        <w:tc>
          <w:tcPr>
            <w:tcW w:w="2835" w:type="dxa"/>
            <w:shd w:val="clear" w:color="auto" w:fill="FFFFFF" w:themeFill="background1"/>
          </w:tcPr>
          <w:p w14:paraId="70E53405" w14:textId="7A53DC34" w:rsidR="00CF5FBF" w:rsidRPr="00D75692" w:rsidRDefault="00CF5FBF" w:rsidP="009512FB">
            <w:pPr>
              <w:jc w:val="right"/>
              <w:rPr>
                <w:rFonts w:cs="HelveticaNeueLT Std"/>
                <w:sz w:val="18"/>
                <w:szCs w:val="18"/>
              </w:rPr>
            </w:pPr>
            <w:r w:rsidRPr="00E641B6">
              <w:rPr>
                <w:sz w:val="24"/>
              </w:rPr>
              <w:t xml:space="preserve"> $948,244 </w:t>
            </w:r>
          </w:p>
        </w:tc>
      </w:tr>
      <w:tr w:rsidR="00CF5FBF" w:rsidRPr="00D75692" w14:paraId="4F834ACC" w14:textId="77777777" w:rsidTr="00CF5FBF">
        <w:trPr>
          <w:cantSplit/>
          <w:trHeight w:val="15"/>
        </w:trPr>
        <w:tc>
          <w:tcPr>
            <w:tcW w:w="6658" w:type="dxa"/>
            <w:shd w:val="clear" w:color="auto" w:fill="FFFFFF" w:themeFill="background1"/>
          </w:tcPr>
          <w:p w14:paraId="47CF7411" w14:textId="7E33C27B" w:rsidR="00CF5FBF" w:rsidRPr="00D75692" w:rsidRDefault="00CF5FBF" w:rsidP="00CF5FBF">
            <w:pPr>
              <w:rPr>
                <w:rFonts w:cs="HelveticaNeueLT Std"/>
                <w:sz w:val="18"/>
                <w:szCs w:val="18"/>
              </w:rPr>
            </w:pPr>
            <w:r w:rsidRPr="00E641B6">
              <w:rPr>
                <w:sz w:val="24"/>
              </w:rPr>
              <w:t>Kingston New Scheme (Wastewater)</w:t>
            </w:r>
          </w:p>
        </w:tc>
        <w:tc>
          <w:tcPr>
            <w:tcW w:w="2835" w:type="dxa"/>
            <w:shd w:val="clear" w:color="auto" w:fill="FFFFFF" w:themeFill="background1"/>
          </w:tcPr>
          <w:p w14:paraId="7CA48B5C" w14:textId="22B8D1CF" w:rsidR="00CF5FBF" w:rsidRPr="00D75692" w:rsidRDefault="00CF5FBF" w:rsidP="009512FB">
            <w:pPr>
              <w:jc w:val="right"/>
              <w:rPr>
                <w:rFonts w:cs="HelveticaNeueLT Std"/>
                <w:sz w:val="18"/>
                <w:szCs w:val="18"/>
              </w:rPr>
            </w:pPr>
            <w:r w:rsidRPr="00E641B6">
              <w:rPr>
                <w:sz w:val="24"/>
              </w:rPr>
              <w:t xml:space="preserve"> $875,739 </w:t>
            </w:r>
          </w:p>
        </w:tc>
      </w:tr>
      <w:tr w:rsidR="00CF5FBF" w:rsidRPr="00D75692" w14:paraId="7020F911" w14:textId="77777777" w:rsidTr="00CF5FBF">
        <w:trPr>
          <w:cantSplit/>
          <w:trHeight w:val="15"/>
        </w:trPr>
        <w:tc>
          <w:tcPr>
            <w:tcW w:w="6658" w:type="dxa"/>
            <w:shd w:val="clear" w:color="auto" w:fill="FFFFFF" w:themeFill="background1"/>
          </w:tcPr>
          <w:p w14:paraId="2FFFBCC2" w14:textId="2755C60C" w:rsidR="00CF5FBF" w:rsidRPr="00D75692" w:rsidRDefault="00CF5FBF" w:rsidP="00CF5FBF">
            <w:pPr>
              <w:rPr>
                <w:rFonts w:cs="HelveticaNeueLT Std"/>
                <w:sz w:val="18"/>
                <w:szCs w:val="18"/>
              </w:rPr>
            </w:pPr>
            <w:r w:rsidRPr="00E641B6">
              <w:rPr>
                <w:sz w:val="24"/>
              </w:rPr>
              <w:t>Arthurs Point to CBD Active Travel (Transport)</w:t>
            </w:r>
          </w:p>
        </w:tc>
        <w:tc>
          <w:tcPr>
            <w:tcW w:w="2835" w:type="dxa"/>
            <w:shd w:val="clear" w:color="auto" w:fill="FFFFFF" w:themeFill="background1"/>
          </w:tcPr>
          <w:p w14:paraId="00F91ED8" w14:textId="209B77A7" w:rsidR="00CF5FBF" w:rsidRPr="00D75692" w:rsidRDefault="00CF5FBF" w:rsidP="009512FB">
            <w:pPr>
              <w:jc w:val="right"/>
              <w:rPr>
                <w:rFonts w:cs="HelveticaNeueLT Std"/>
                <w:sz w:val="18"/>
                <w:szCs w:val="18"/>
              </w:rPr>
            </w:pPr>
            <w:r w:rsidRPr="00E641B6">
              <w:rPr>
                <w:sz w:val="24"/>
              </w:rPr>
              <w:t xml:space="preserve"> $811,058 </w:t>
            </w:r>
          </w:p>
        </w:tc>
      </w:tr>
      <w:tr w:rsidR="00CF5FBF" w:rsidRPr="00E641B6" w14:paraId="17A5B312" w14:textId="77777777" w:rsidTr="00CF5FBF">
        <w:trPr>
          <w:cantSplit/>
          <w:trHeight w:val="15"/>
        </w:trPr>
        <w:tc>
          <w:tcPr>
            <w:tcW w:w="6658" w:type="dxa"/>
            <w:shd w:val="clear" w:color="auto" w:fill="FFFFFF" w:themeFill="background1"/>
          </w:tcPr>
          <w:p w14:paraId="30336253" w14:textId="074A0B7A" w:rsidR="00CF5FBF" w:rsidRPr="00D75692" w:rsidRDefault="00CF5FBF" w:rsidP="00CF5FBF">
            <w:pPr>
              <w:rPr>
                <w:rFonts w:cs="HelveticaNeueLT Std"/>
                <w:sz w:val="18"/>
                <w:szCs w:val="18"/>
              </w:rPr>
            </w:pPr>
            <w:r w:rsidRPr="00E641B6">
              <w:rPr>
                <w:sz w:val="24"/>
              </w:rPr>
              <w:t xml:space="preserve">Minor Improvements </w:t>
            </w:r>
            <w:proofErr w:type="spellStart"/>
            <w:r w:rsidRPr="00E641B6">
              <w:rPr>
                <w:sz w:val="24"/>
              </w:rPr>
              <w:t>Whakatipu</w:t>
            </w:r>
            <w:proofErr w:type="spellEnd"/>
            <w:r w:rsidRPr="00E641B6">
              <w:rPr>
                <w:sz w:val="24"/>
              </w:rPr>
              <w:t xml:space="preserve"> (Transport) unsub</w:t>
            </w:r>
          </w:p>
        </w:tc>
        <w:tc>
          <w:tcPr>
            <w:tcW w:w="2835" w:type="dxa"/>
            <w:shd w:val="clear" w:color="auto" w:fill="FFFFFF" w:themeFill="background1"/>
          </w:tcPr>
          <w:p w14:paraId="3E4FD4DB" w14:textId="3EA6F793" w:rsidR="00CF5FBF" w:rsidRPr="00D75692" w:rsidRDefault="00CF5FBF" w:rsidP="009512FB">
            <w:pPr>
              <w:jc w:val="right"/>
              <w:rPr>
                <w:rFonts w:cs="HelveticaNeueLT Std"/>
                <w:sz w:val="18"/>
                <w:szCs w:val="18"/>
              </w:rPr>
            </w:pPr>
            <w:r w:rsidRPr="00E641B6">
              <w:rPr>
                <w:sz w:val="24"/>
              </w:rPr>
              <w:t xml:space="preserve"> $781,110 </w:t>
            </w:r>
          </w:p>
        </w:tc>
      </w:tr>
    </w:tbl>
    <w:p w14:paraId="32F6BAED" w14:textId="77777777" w:rsidR="00CF5FBF" w:rsidRPr="00E641B6" w:rsidRDefault="00CF5FBF" w:rsidP="00CF5FBF">
      <w:pPr>
        <w:rPr>
          <w:sz w:val="24"/>
          <w:lang w:val="en-GB"/>
        </w:rPr>
      </w:pPr>
    </w:p>
    <w:p w14:paraId="21E8401A" w14:textId="39C5F2EF" w:rsidR="00CF5FBF" w:rsidRPr="00E641B6" w:rsidRDefault="00CF5FBF" w:rsidP="00CF5FBF">
      <w:pPr>
        <w:rPr>
          <w:sz w:val="24"/>
          <w:lang w:val="en-GB"/>
        </w:rPr>
      </w:pPr>
      <w:r w:rsidRPr="00E641B6">
        <w:rPr>
          <w:sz w:val="24"/>
          <w:lang w:val="en-GB"/>
        </w:rPr>
        <w:t xml:space="preserve">Total net carry-forward projects </w:t>
      </w:r>
      <w:proofErr w:type="spellStart"/>
      <w:r w:rsidRPr="00E641B6">
        <w:rPr>
          <w:sz w:val="24"/>
          <w:lang w:val="en-GB"/>
        </w:rPr>
        <w:t>totaling</w:t>
      </w:r>
      <w:proofErr w:type="spellEnd"/>
      <w:r w:rsidRPr="00E641B6">
        <w:rPr>
          <w:sz w:val="24"/>
          <w:lang w:val="en-GB"/>
        </w:rPr>
        <w:t xml:space="preserve"> $17.1M were approved by the council in September for completion during 2025-2027. Carry forwards </w:t>
      </w:r>
      <w:proofErr w:type="gramStart"/>
      <w:r w:rsidRPr="00E641B6">
        <w:rPr>
          <w:sz w:val="24"/>
          <w:lang w:val="en-GB"/>
        </w:rPr>
        <w:t>in excess of</w:t>
      </w:r>
      <w:proofErr w:type="gramEnd"/>
      <w:r w:rsidRPr="00E641B6">
        <w:rPr>
          <w:sz w:val="24"/>
          <w:lang w:val="en-GB"/>
        </w:rPr>
        <w:t xml:space="preserve"> $500,000 are as follows:</w:t>
      </w:r>
    </w:p>
    <w:tbl>
      <w:tblPr>
        <w:tblStyle w:val="TableGrid"/>
        <w:tblW w:w="9493" w:type="dxa"/>
        <w:tblLayout w:type="fixed"/>
        <w:tblCellMar>
          <w:top w:w="115" w:type="dxa"/>
          <w:bottom w:w="115" w:type="dxa"/>
        </w:tblCellMar>
        <w:tblLook w:val="04A0" w:firstRow="1" w:lastRow="0" w:firstColumn="1" w:lastColumn="0" w:noHBand="0" w:noVBand="1"/>
      </w:tblPr>
      <w:tblGrid>
        <w:gridCol w:w="6658"/>
        <w:gridCol w:w="2835"/>
      </w:tblGrid>
      <w:tr w:rsidR="00CF5FBF" w:rsidRPr="00A0388A" w14:paraId="3C9CB03A" w14:textId="77777777" w:rsidTr="00B738E2">
        <w:trPr>
          <w:cantSplit/>
        </w:trPr>
        <w:tc>
          <w:tcPr>
            <w:tcW w:w="6658" w:type="dxa"/>
            <w:shd w:val="clear" w:color="auto" w:fill="BFBFBF" w:themeFill="background1" w:themeFillShade="BF"/>
          </w:tcPr>
          <w:p w14:paraId="65EFE954" w14:textId="7FD709B1" w:rsidR="00CF5FBF" w:rsidRPr="00A0388A" w:rsidRDefault="00CF5FBF" w:rsidP="00CF5FBF">
            <w:pPr>
              <w:rPr>
                <w:b/>
                <w:bCs/>
                <w:sz w:val="18"/>
                <w:szCs w:val="18"/>
                <w:lang w:val="en-US"/>
              </w:rPr>
            </w:pPr>
            <w:r w:rsidRPr="00E641B6">
              <w:rPr>
                <w:sz w:val="24"/>
              </w:rPr>
              <w:t>Project</w:t>
            </w:r>
          </w:p>
        </w:tc>
        <w:tc>
          <w:tcPr>
            <w:tcW w:w="2835" w:type="dxa"/>
            <w:shd w:val="clear" w:color="auto" w:fill="BFBFBF" w:themeFill="background1" w:themeFillShade="BF"/>
          </w:tcPr>
          <w:p w14:paraId="3FD72B16" w14:textId="779BB9D1" w:rsidR="00CF5FBF" w:rsidRPr="00A0388A" w:rsidRDefault="00CF5FBF" w:rsidP="009512FB">
            <w:pPr>
              <w:jc w:val="right"/>
              <w:rPr>
                <w:b/>
                <w:bCs/>
                <w:sz w:val="18"/>
                <w:szCs w:val="18"/>
                <w:lang w:val="en-US"/>
              </w:rPr>
            </w:pPr>
            <w:r w:rsidRPr="00E641B6">
              <w:rPr>
                <w:sz w:val="24"/>
              </w:rPr>
              <w:t xml:space="preserve">Budget Deferred at Year End 2025 </w:t>
            </w:r>
          </w:p>
        </w:tc>
      </w:tr>
      <w:tr w:rsidR="00CF5FBF" w:rsidRPr="00D75692" w14:paraId="2B985400" w14:textId="77777777" w:rsidTr="00B738E2">
        <w:trPr>
          <w:cantSplit/>
          <w:trHeight w:val="15"/>
        </w:trPr>
        <w:tc>
          <w:tcPr>
            <w:tcW w:w="6658" w:type="dxa"/>
            <w:shd w:val="clear" w:color="auto" w:fill="FFFFFF" w:themeFill="background1"/>
          </w:tcPr>
          <w:p w14:paraId="6221749D" w14:textId="2C348422" w:rsidR="00CF5FBF" w:rsidRPr="00D75692" w:rsidRDefault="00CF5FBF" w:rsidP="00CF5FBF">
            <w:pPr>
              <w:rPr>
                <w:rFonts w:cs="HelveticaNeueLT Std"/>
                <w:sz w:val="18"/>
                <w:szCs w:val="18"/>
              </w:rPr>
            </w:pPr>
            <w:r w:rsidRPr="00E641B6">
              <w:rPr>
                <w:sz w:val="24"/>
              </w:rPr>
              <w:t>Kingston New Scheme (Storm Water)</w:t>
            </w:r>
          </w:p>
        </w:tc>
        <w:tc>
          <w:tcPr>
            <w:tcW w:w="2835" w:type="dxa"/>
            <w:shd w:val="clear" w:color="auto" w:fill="FFFFFF" w:themeFill="background1"/>
          </w:tcPr>
          <w:p w14:paraId="3883992E" w14:textId="75BDD3E8" w:rsidR="00CF5FBF" w:rsidRPr="00D75692" w:rsidRDefault="00CF5FBF" w:rsidP="009512FB">
            <w:pPr>
              <w:jc w:val="right"/>
              <w:rPr>
                <w:rFonts w:cs="HelveticaNeueLT Std"/>
                <w:sz w:val="18"/>
                <w:szCs w:val="18"/>
              </w:rPr>
            </w:pPr>
            <w:r w:rsidRPr="00E641B6">
              <w:rPr>
                <w:sz w:val="24"/>
              </w:rPr>
              <w:t xml:space="preserve"> $2,501,811 </w:t>
            </w:r>
          </w:p>
        </w:tc>
      </w:tr>
      <w:tr w:rsidR="00CF5FBF" w:rsidRPr="00D75692" w14:paraId="687F9C64" w14:textId="77777777" w:rsidTr="00B738E2">
        <w:trPr>
          <w:cantSplit/>
          <w:trHeight w:val="15"/>
        </w:trPr>
        <w:tc>
          <w:tcPr>
            <w:tcW w:w="6658" w:type="dxa"/>
            <w:shd w:val="clear" w:color="auto" w:fill="FFFFFF" w:themeFill="background1"/>
          </w:tcPr>
          <w:p w14:paraId="20FFFE34" w14:textId="0E775708" w:rsidR="00CF5FBF" w:rsidRPr="00D75692" w:rsidRDefault="00CF5FBF" w:rsidP="00CF5FBF">
            <w:pPr>
              <w:rPr>
                <w:rFonts w:cs="HelveticaNeueLT Std"/>
                <w:sz w:val="18"/>
                <w:szCs w:val="18"/>
              </w:rPr>
            </w:pPr>
            <w:r w:rsidRPr="00E641B6">
              <w:rPr>
                <w:sz w:val="24"/>
              </w:rPr>
              <w:t>Robins Road Conveyance Upgrade (Wastewater)</w:t>
            </w:r>
          </w:p>
        </w:tc>
        <w:tc>
          <w:tcPr>
            <w:tcW w:w="2835" w:type="dxa"/>
            <w:shd w:val="clear" w:color="auto" w:fill="FFFFFF" w:themeFill="background1"/>
          </w:tcPr>
          <w:p w14:paraId="17C7D694" w14:textId="1352892D" w:rsidR="00CF5FBF" w:rsidRPr="00D75692" w:rsidRDefault="00CF5FBF" w:rsidP="009512FB">
            <w:pPr>
              <w:jc w:val="right"/>
              <w:rPr>
                <w:rFonts w:cs="HelveticaNeueLT Std"/>
                <w:sz w:val="18"/>
                <w:szCs w:val="18"/>
              </w:rPr>
            </w:pPr>
            <w:r w:rsidRPr="00E641B6">
              <w:rPr>
                <w:sz w:val="24"/>
              </w:rPr>
              <w:t xml:space="preserve"> $2,056,129 </w:t>
            </w:r>
          </w:p>
        </w:tc>
      </w:tr>
      <w:tr w:rsidR="00CF5FBF" w:rsidRPr="00D75692" w14:paraId="12DC7342" w14:textId="77777777" w:rsidTr="00B738E2">
        <w:trPr>
          <w:cantSplit/>
          <w:trHeight w:val="15"/>
        </w:trPr>
        <w:tc>
          <w:tcPr>
            <w:tcW w:w="6658" w:type="dxa"/>
            <w:shd w:val="clear" w:color="auto" w:fill="FFFFFF" w:themeFill="background1"/>
          </w:tcPr>
          <w:p w14:paraId="3FD9E01C" w14:textId="606550D2" w:rsidR="00CF5FBF" w:rsidRPr="00D75692" w:rsidRDefault="00CF5FBF" w:rsidP="00CF5FBF">
            <w:pPr>
              <w:rPr>
                <w:rFonts w:cs="HelveticaNeueLT Std"/>
                <w:sz w:val="18"/>
                <w:szCs w:val="18"/>
              </w:rPr>
            </w:pPr>
            <w:r w:rsidRPr="00E641B6">
              <w:rPr>
                <w:sz w:val="24"/>
              </w:rPr>
              <w:t>Lakeview Development Servicing (Storm Water)</w:t>
            </w:r>
          </w:p>
        </w:tc>
        <w:tc>
          <w:tcPr>
            <w:tcW w:w="2835" w:type="dxa"/>
            <w:shd w:val="clear" w:color="auto" w:fill="FFFFFF" w:themeFill="background1"/>
          </w:tcPr>
          <w:p w14:paraId="2477614C" w14:textId="29DA8173" w:rsidR="00CF5FBF" w:rsidRPr="00D75692" w:rsidRDefault="00CF5FBF" w:rsidP="009512FB">
            <w:pPr>
              <w:jc w:val="right"/>
              <w:rPr>
                <w:rFonts w:cs="HelveticaNeueLT Std"/>
                <w:sz w:val="18"/>
                <w:szCs w:val="18"/>
              </w:rPr>
            </w:pPr>
            <w:r w:rsidRPr="00E641B6">
              <w:rPr>
                <w:sz w:val="24"/>
              </w:rPr>
              <w:t xml:space="preserve"> $1,060,685 </w:t>
            </w:r>
          </w:p>
        </w:tc>
      </w:tr>
      <w:tr w:rsidR="00CF5FBF" w:rsidRPr="00D75692" w14:paraId="0436AE75" w14:textId="77777777" w:rsidTr="00B738E2">
        <w:trPr>
          <w:cantSplit/>
          <w:trHeight w:val="15"/>
        </w:trPr>
        <w:tc>
          <w:tcPr>
            <w:tcW w:w="6658" w:type="dxa"/>
            <w:shd w:val="clear" w:color="auto" w:fill="FFFFFF" w:themeFill="background1"/>
          </w:tcPr>
          <w:p w14:paraId="08506462" w14:textId="3EA4E79A" w:rsidR="00CF5FBF" w:rsidRPr="00D75692" w:rsidRDefault="00CF5FBF" w:rsidP="00CF5FBF">
            <w:pPr>
              <w:rPr>
                <w:rFonts w:cs="HelveticaNeueLT Std"/>
                <w:sz w:val="18"/>
                <w:szCs w:val="18"/>
              </w:rPr>
            </w:pPr>
            <w:r w:rsidRPr="00E641B6">
              <w:rPr>
                <w:sz w:val="24"/>
              </w:rPr>
              <w:t>Queenstown Street Upgrades - CIP</w:t>
            </w:r>
          </w:p>
        </w:tc>
        <w:tc>
          <w:tcPr>
            <w:tcW w:w="2835" w:type="dxa"/>
            <w:shd w:val="clear" w:color="auto" w:fill="FFFFFF" w:themeFill="background1"/>
          </w:tcPr>
          <w:p w14:paraId="0F27C82A" w14:textId="5755DC15" w:rsidR="00CF5FBF" w:rsidRPr="00D75692" w:rsidRDefault="00CF5FBF" w:rsidP="009512FB">
            <w:pPr>
              <w:jc w:val="right"/>
              <w:rPr>
                <w:rFonts w:cs="HelveticaNeueLT Std"/>
                <w:sz w:val="18"/>
                <w:szCs w:val="18"/>
              </w:rPr>
            </w:pPr>
            <w:r w:rsidRPr="00E641B6">
              <w:rPr>
                <w:sz w:val="24"/>
              </w:rPr>
              <w:t xml:space="preserve"> $1,000,000 </w:t>
            </w:r>
          </w:p>
        </w:tc>
      </w:tr>
      <w:tr w:rsidR="00CF5FBF" w:rsidRPr="00D75692" w14:paraId="17562C4A" w14:textId="77777777" w:rsidTr="00B738E2">
        <w:trPr>
          <w:cantSplit/>
          <w:trHeight w:val="15"/>
        </w:trPr>
        <w:tc>
          <w:tcPr>
            <w:tcW w:w="6658" w:type="dxa"/>
            <w:shd w:val="clear" w:color="auto" w:fill="FFFFFF" w:themeFill="background1"/>
          </w:tcPr>
          <w:p w14:paraId="2E29A229" w14:textId="13E8E301" w:rsidR="00CF5FBF" w:rsidRPr="00D75692" w:rsidRDefault="00CF5FBF" w:rsidP="00CF5FBF">
            <w:pPr>
              <w:rPr>
                <w:rFonts w:cs="HelveticaNeueLT Std"/>
                <w:sz w:val="18"/>
                <w:szCs w:val="18"/>
              </w:rPr>
            </w:pPr>
            <w:r w:rsidRPr="00E641B6">
              <w:rPr>
                <w:sz w:val="24"/>
              </w:rPr>
              <w:t xml:space="preserve">Sealed Road Resurfacing - </w:t>
            </w:r>
            <w:proofErr w:type="spellStart"/>
            <w:r w:rsidRPr="00E641B6">
              <w:rPr>
                <w:sz w:val="24"/>
              </w:rPr>
              <w:t>Whakatipu</w:t>
            </w:r>
            <w:proofErr w:type="spellEnd"/>
            <w:r w:rsidRPr="00E641B6">
              <w:rPr>
                <w:sz w:val="24"/>
              </w:rPr>
              <w:t xml:space="preserve"> (Transport)</w:t>
            </w:r>
          </w:p>
        </w:tc>
        <w:tc>
          <w:tcPr>
            <w:tcW w:w="2835" w:type="dxa"/>
            <w:shd w:val="clear" w:color="auto" w:fill="FFFFFF" w:themeFill="background1"/>
          </w:tcPr>
          <w:p w14:paraId="0E3EB944" w14:textId="68595AE1" w:rsidR="00CF5FBF" w:rsidRPr="00D75692" w:rsidRDefault="00CF5FBF" w:rsidP="009512FB">
            <w:pPr>
              <w:jc w:val="right"/>
              <w:rPr>
                <w:rFonts w:cs="HelveticaNeueLT Std"/>
                <w:sz w:val="18"/>
                <w:szCs w:val="18"/>
              </w:rPr>
            </w:pPr>
            <w:r w:rsidRPr="00E641B6">
              <w:rPr>
                <w:sz w:val="24"/>
              </w:rPr>
              <w:t xml:space="preserve"> $999,910 </w:t>
            </w:r>
          </w:p>
        </w:tc>
      </w:tr>
      <w:tr w:rsidR="00CF5FBF" w:rsidRPr="00D75692" w14:paraId="1BAFB1BC" w14:textId="77777777" w:rsidTr="00B738E2">
        <w:trPr>
          <w:cantSplit/>
          <w:trHeight w:val="15"/>
        </w:trPr>
        <w:tc>
          <w:tcPr>
            <w:tcW w:w="6658" w:type="dxa"/>
            <w:shd w:val="clear" w:color="auto" w:fill="FFFFFF" w:themeFill="background1"/>
          </w:tcPr>
          <w:p w14:paraId="40758D34" w14:textId="47004873" w:rsidR="00CF5FBF" w:rsidRPr="00D75692" w:rsidRDefault="00CF5FBF" w:rsidP="00CF5FBF">
            <w:pPr>
              <w:rPr>
                <w:rFonts w:cs="HelveticaNeueLT Std"/>
                <w:sz w:val="18"/>
                <w:szCs w:val="18"/>
              </w:rPr>
            </w:pPr>
            <w:proofErr w:type="spellStart"/>
            <w:r w:rsidRPr="00E641B6">
              <w:rPr>
                <w:sz w:val="24"/>
              </w:rPr>
              <w:t>Wānaka</w:t>
            </w:r>
            <w:proofErr w:type="spellEnd"/>
            <w:r w:rsidRPr="00E641B6">
              <w:rPr>
                <w:sz w:val="24"/>
              </w:rPr>
              <w:t xml:space="preserve"> Airport Compliance</w:t>
            </w:r>
          </w:p>
        </w:tc>
        <w:tc>
          <w:tcPr>
            <w:tcW w:w="2835" w:type="dxa"/>
            <w:shd w:val="clear" w:color="auto" w:fill="FFFFFF" w:themeFill="background1"/>
          </w:tcPr>
          <w:p w14:paraId="78B6E658" w14:textId="70E82E07" w:rsidR="00CF5FBF" w:rsidRPr="00D75692" w:rsidRDefault="00CF5FBF" w:rsidP="009512FB">
            <w:pPr>
              <w:jc w:val="right"/>
              <w:rPr>
                <w:rFonts w:cs="HelveticaNeueLT Std"/>
                <w:sz w:val="18"/>
                <w:szCs w:val="18"/>
              </w:rPr>
            </w:pPr>
            <w:r w:rsidRPr="00E641B6">
              <w:rPr>
                <w:sz w:val="24"/>
              </w:rPr>
              <w:t xml:space="preserve"> $865,180 </w:t>
            </w:r>
          </w:p>
        </w:tc>
      </w:tr>
      <w:tr w:rsidR="00CF5FBF" w:rsidRPr="00D75692" w14:paraId="10F0C8A4" w14:textId="77777777" w:rsidTr="00B738E2">
        <w:trPr>
          <w:cantSplit/>
          <w:trHeight w:val="15"/>
        </w:trPr>
        <w:tc>
          <w:tcPr>
            <w:tcW w:w="6658" w:type="dxa"/>
            <w:shd w:val="clear" w:color="auto" w:fill="FFFFFF" w:themeFill="background1"/>
          </w:tcPr>
          <w:p w14:paraId="463CBAB1" w14:textId="163AC2F9" w:rsidR="00CF5FBF" w:rsidRPr="00D75692" w:rsidRDefault="00CF5FBF" w:rsidP="00CF5FBF">
            <w:pPr>
              <w:rPr>
                <w:rFonts w:cs="HelveticaNeueLT Std"/>
                <w:sz w:val="18"/>
                <w:szCs w:val="18"/>
              </w:rPr>
            </w:pPr>
            <w:r w:rsidRPr="00E641B6">
              <w:rPr>
                <w:sz w:val="24"/>
              </w:rPr>
              <w:t>Compliance Response - UV Treatment (Water Supply)</w:t>
            </w:r>
          </w:p>
        </w:tc>
        <w:tc>
          <w:tcPr>
            <w:tcW w:w="2835" w:type="dxa"/>
            <w:shd w:val="clear" w:color="auto" w:fill="FFFFFF" w:themeFill="background1"/>
          </w:tcPr>
          <w:p w14:paraId="22D2ED92" w14:textId="67568AD2" w:rsidR="00CF5FBF" w:rsidRPr="00D75692" w:rsidRDefault="00CF5FBF" w:rsidP="009512FB">
            <w:pPr>
              <w:jc w:val="right"/>
              <w:rPr>
                <w:rFonts w:cs="HelveticaNeueLT Std"/>
                <w:sz w:val="18"/>
                <w:szCs w:val="18"/>
              </w:rPr>
            </w:pPr>
            <w:r w:rsidRPr="00E641B6">
              <w:rPr>
                <w:sz w:val="24"/>
              </w:rPr>
              <w:t xml:space="preserve"> $769,385 </w:t>
            </w:r>
          </w:p>
        </w:tc>
      </w:tr>
      <w:tr w:rsidR="00CF5FBF" w:rsidRPr="00D75692" w14:paraId="22140B83" w14:textId="77777777" w:rsidTr="00B738E2">
        <w:trPr>
          <w:cantSplit/>
          <w:trHeight w:val="15"/>
        </w:trPr>
        <w:tc>
          <w:tcPr>
            <w:tcW w:w="6658" w:type="dxa"/>
            <w:shd w:val="clear" w:color="auto" w:fill="FFFFFF" w:themeFill="background1"/>
          </w:tcPr>
          <w:p w14:paraId="10252896" w14:textId="7E187540" w:rsidR="00CF5FBF" w:rsidRPr="00D75692" w:rsidRDefault="00CF5FBF" w:rsidP="00CF5FBF">
            <w:pPr>
              <w:rPr>
                <w:rFonts w:cs="HelveticaNeueLT Std"/>
                <w:sz w:val="18"/>
                <w:szCs w:val="18"/>
              </w:rPr>
            </w:pPr>
            <w:r w:rsidRPr="00E641B6">
              <w:rPr>
                <w:sz w:val="24"/>
              </w:rPr>
              <w:t>Stanley St Site Works &amp; Temp Parking</w:t>
            </w:r>
          </w:p>
        </w:tc>
        <w:tc>
          <w:tcPr>
            <w:tcW w:w="2835" w:type="dxa"/>
            <w:shd w:val="clear" w:color="auto" w:fill="FFFFFF" w:themeFill="background1"/>
          </w:tcPr>
          <w:p w14:paraId="7C92AD6C" w14:textId="0B5705B9" w:rsidR="00CF5FBF" w:rsidRPr="00D75692" w:rsidRDefault="00CF5FBF" w:rsidP="009512FB">
            <w:pPr>
              <w:jc w:val="right"/>
              <w:rPr>
                <w:rFonts w:cs="HelveticaNeueLT Std"/>
                <w:sz w:val="18"/>
                <w:szCs w:val="18"/>
              </w:rPr>
            </w:pPr>
            <w:r w:rsidRPr="00E641B6">
              <w:rPr>
                <w:sz w:val="24"/>
              </w:rPr>
              <w:t xml:space="preserve"> $751,026 </w:t>
            </w:r>
          </w:p>
        </w:tc>
      </w:tr>
      <w:tr w:rsidR="00CF5FBF" w:rsidRPr="00D75692" w14:paraId="41278FA3" w14:textId="77777777" w:rsidTr="00B738E2">
        <w:trPr>
          <w:cantSplit/>
          <w:trHeight w:val="15"/>
        </w:trPr>
        <w:tc>
          <w:tcPr>
            <w:tcW w:w="6658" w:type="dxa"/>
            <w:shd w:val="clear" w:color="auto" w:fill="FFFFFF" w:themeFill="background1"/>
          </w:tcPr>
          <w:p w14:paraId="62B1BE40" w14:textId="24834C39" w:rsidR="00CF5FBF" w:rsidRPr="00D75692" w:rsidRDefault="00CF5FBF" w:rsidP="00CF5FBF">
            <w:pPr>
              <w:rPr>
                <w:rFonts w:cs="HelveticaNeueLT Std"/>
                <w:sz w:val="18"/>
                <w:szCs w:val="18"/>
              </w:rPr>
            </w:pPr>
            <w:proofErr w:type="spellStart"/>
            <w:r w:rsidRPr="00E641B6">
              <w:rPr>
                <w:sz w:val="24"/>
              </w:rPr>
              <w:t>Wānaka</w:t>
            </w:r>
            <w:proofErr w:type="spellEnd"/>
            <w:r w:rsidRPr="00E641B6">
              <w:rPr>
                <w:sz w:val="24"/>
              </w:rPr>
              <w:t xml:space="preserve"> Airport Renewals</w:t>
            </w:r>
          </w:p>
        </w:tc>
        <w:tc>
          <w:tcPr>
            <w:tcW w:w="2835" w:type="dxa"/>
            <w:shd w:val="clear" w:color="auto" w:fill="FFFFFF" w:themeFill="background1"/>
          </w:tcPr>
          <w:p w14:paraId="57DC8001" w14:textId="5C0FDB28" w:rsidR="00CF5FBF" w:rsidRPr="00D75692" w:rsidRDefault="00CF5FBF" w:rsidP="009512FB">
            <w:pPr>
              <w:jc w:val="right"/>
              <w:rPr>
                <w:rFonts w:cs="HelveticaNeueLT Std"/>
                <w:sz w:val="18"/>
                <w:szCs w:val="18"/>
              </w:rPr>
            </w:pPr>
            <w:r w:rsidRPr="00E641B6">
              <w:rPr>
                <w:sz w:val="24"/>
              </w:rPr>
              <w:t xml:space="preserve"> $732,069 </w:t>
            </w:r>
          </w:p>
        </w:tc>
      </w:tr>
      <w:tr w:rsidR="00CF5FBF" w:rsidRPr="00D75692" w14:paraId="4AB5ABDF" w14:textId="77777777" w:rsidTr="00B738E2">
        <w:trPr>
          <w:cantSplit/>
          <w:trHeight w:val="15"/>
        </w:trPr>
        <w:tc>
          <w:tcPr>
            <w:tcW w:w="6658" w:type="dxa"/>
            <w:shd w:val="clear" w:color="auto" w:fill="FFFFFF" w:themeFill="background1"/>
          </w:tcPr>
          <w:p w14:paraId="3A5FE663" w14:textId="67576D10" w:rsidR="00CF5FBF" w:rsidRPr="00D75692" w:rsidRDefault="00CF5FBF" w:rsidP="00CF5FBF">
            <w:pPr>
              <w:rPr>
                <w:rFonts w:cs="HelveticaNeueLT Std"/>
                <w:sz w:val="18"/>
                <w:szCs w:val="18"/>
              </w:rPr>
            </w:pPr>
            <w:r w:rsidRPr="00E641B6">
              <w:rPr>
                <w:sz w:val="24"/>
              </w:rPr>
              <w:t>Historic Land Encroachments (Wastewater)</w:t>
            </w:r>
          </w:p>
        </w:tc>
        <w:tc>
          <w:tcPr>
            <w:tcW w:w="2835" w:type="dxa"/>
            <w:shd w:val="clear" w:color="auto" w:fill="FFFFFF" w:themeFill="background1"/>
          </w:tcPr>
          <w:p w14:paraId="0C16332B" w14:textId="1FFFEF5B" w:rsidR="00CF5FBF" w:rsidRPr="00D75692" w:rsidRDefault="00CF5FBF" w:rsidP="009512FB">
            <w:pPr>
              <w:jc w:val="right"/>
              <w:rPr>
                <w:rFonts w:cs="HelveticaNeueLT Std"/>
                <w:sz w:val="18"/>
                <w:szCs w:val="18"/>
              </w:rPr>
            </w:pPr>
            <w:r w:rsidRPr="00E641B6">
              <w:rPr>
                <w:sz w:val="24"/>
              </w:rPr>
              <w:t xml:space="preserve"> $618,217 </w:t>
            </w:r>
          </w:p>
        </w:tc>
      </w:tr>
      <w:tr w:rsidR="00CF5FBF" w:rsidRPr="00D75692" w14:paraId="6AB9DB6D" w14:textId="77777777" w:rsidTr="00B738E2">
        <w:trPr>
          <w:cantSplit/>
          <w:trHeight w:val="15"/>
        </w:trPr>
        <w:tc>
          <w:tcPr>
            <w:tcW w:w="6658" w:type="dxa"/>
            <w:shd w:val="clear" w:color="auto" w:fill="FFFFFF" w:themeFill="background1"/>
          </w:tcPr>
          <w:p w14:paraId="34E32F7B" w14:textId="388E4928" w:rsidR="00CF5FBF" w:rsidRPr="00D75692" w:rsidRDefault="00CF5FBF" w:rsidP="00CF5FBF">
            <w:pPr>
              <w:rPr>
                <w:rFonts w:cs="HelveticaNeueLT Std"/>
                <w:sz w:val="18"/>
                <w:szCs w:val="18"/>
              </w:rPr>
            </w:pPr>
            <w:r w:rsidRPr="00E641B6">
              <w:rPr>
                <w:sz w:val="24"/>
              </w:rPr>
              <w:t>Cardrona Valley Rd 3.0-4.0 Rehab (Transport)</w:t>
            </w:r>
          </w:p>
        </w:tc>
        <w:tc>
          <w:tcPr>
            <w:tcW w:w="2835" w:type="dxa"/>
            <w:shd w:val="clear" w:color="auto" w:fill="FFFFFF" w:themeFill="background1"/>
          </w:tcPr>
          <w:p w14:paraId="0AA15801" w14:textId="459947DE" w:rsidR="00CF5FBF" w:rsidRPr="00D75692" w:rsidRDefault="00CF5FBF" w:rsidP="009512FB">
            <w:pPr>
              <w:jc w:val="right"/>
              <w:rPr>
                <w:rFonts w:cs="HelveticaNeueLT Std"/>
                <w:sz w:val="18"/>
                <w:szCs w:val="18"/>
              </w:rPr>
            </w:pPr>
            <w:r w:rsidRPr="00E641B6">
              <w:rPr>
                <w:sz w:val="24"/>
              </w:rPr>
              <w:t xml:space="preserve"> $616,980 </w:t>
            </w:r>
          </w:p>
        </w:tc>
      </w:tr>
      <w:tr w:rsidR="00CF5FBF" w:rsidRPr="00D75692" w14:paraId="7A06FAF6" w14:textId="77777777" w:rsidTr="00B738E2">
        <w:trPr>
          <w:cantSplit/>
          <w:trHeight w:val="15"/>
        </w:trPr>
        <w:tc>
          <w:tcPr>
            <w:tcW w:w="6658" w:type="dxa"/>
            <w:shd w:val="clear" w:color="auto" w:fill="FFFFFF" w:themeFill="background1"/>
          </w:tcPr>
          <w:p w14:paraId="461B66D4" w14:textId="2466DC4D" w:rsidR="00CF5FBF" w:rsidRPr="00D75692" w:rsidRDefault="00CF5FBF" w:rsidP="00CF5FBF">
            <w:pPr>
              <w:rPr>
                <w:rFonts w:cs="HelveticaNeueLT Std"/>
                <w:sz w:val="18"/>
                <w:szCs w:val="18"/>
              </w:rPr>
            </w:pPr>
            <w:r w:rsidRPr="00E641B6">
              <w:rPr>
                <w:sz w:val="24"/>
              </w:rPr>
              <w:t>Existing Wakatipu Waste Facilities</w:t>
            </w:r>
          </w:p>
        </w:tc>
        <w:tc>
          <w:tcPr>
            <w:tcW w:w="2835" w:type="dxa"/>
            <w:shd w:val="clear" w:color="auto" w:fill="FFFFFF" w:themeFill="background1"/>
          </w:tcPr>
          <w:p w14:paraId="2444AF54" w14:textId="191E48D9" w:rsidR="00CF5FBF" w:rsidRPr="00D75692" w:rsidRDefault="00CF5FBF" w:rsidP="009512FB">
            <w:pPr>
              <w:jc w:val="right"/>
              <w:rPr>
                <w:rFonts w:cs="HelveticaNeueLT Std"/>
                <w:sz w:val="18"/>
                <w:szCs w:val="18"/>
              </w:rPr>
            </w:pPr>
            <w:r w:rsidRPr="00E641B6">
              <w:rPr>
                <w:sz w:val="24"/>
              </w:rPr>
              <w:t xml:space="preserve"> $524,830 </w:t>
            </w:r>
          </w:p>
        </w:tc>
      </w:tr>
      <w:tr w:rsidR="00CF5FBF" w:rsidRPr="00E641B6" w14:paraId="274CA907" w14:textId="77777777" w:rsidTr="00B738E2">
        <w:trPr>
          <w:cantSplit/>
          <w:trHeight w:val="15"/>
        </w:trPr>
        <w:tc>
          <w:tcPr>
            <w:tcW w:w="6658" w:type="dxa"/>
            <w:shd w:val="clear" w:color="auto" w:fill="FFFFFF" w:themeFill="background1"/>
          </w:tcPr>
          <w:p w14:paraId="49930D7C" w14:textId="39DD5C43" w:rsidR="00CF5FBF" w:rsidRPr="00D75692" w:rsidRDefault="00CF5FBF" w:rsidP="00CF5FBF">
            <w:pPr>
              <w:rPr>
                <w:rFonts w:cs="HelveticaNeueLT Std"/>
                <w:sz w:val="18"/>
                <w:szCs w:val="18"/>
              </w:rPr>
            </w:pPr>
            <w:r w:rsidRPr="00E641B6">
              <w:rPr>
                <w:sz w:val="24"/>
              </w:rPr>
              <w:t>Hāwea Los Improvements (Water Supply)</w:t>
            </w:r>
          </w:p>
        </w:tc>
        <w:tc>
          <w:tcPr>
            <w:tcW w:w="2835" w:type="dxa"/>
            <w:shd w:val="clear" w:color="auto" w:fill="FFFFFF" w:themeFill="background1"/>
          </w:tcPr>
          <w:p w14:paraId="29792351" w14:textId="7C294F5A" w:rsidR="00CF5FBF" w:rsidRPr="00D75692" w:rsidRDefault="00CF5FBF" w:rsidP="009512FB">
            <w:pPr>
              <w:jc w:val="right"/>
              <w:rPr>
                <w:rFonts w:cs="HelveticaNeueLT Std"/>
                <w:sz w:val="18"/>
                <w:szCs w:val="18"/>
              </w:rPr>
            </w:pPr>
            <w:r w:rsidRPr="00E641B6">
              <w:rPr>
                <w:sz w:val="24"/>
              </w:rPr>
              <w:t xml:space="preserve"> $514,598 </w:t>
            </w:r>
          </w:p>
        </w:tc>
      </w:tr>
    </w:tbl>
    <w:p w14:paraId="712C9250" w14:textId="77777777" w:rsidR="00AF157B" w:rsidRDefault="00AF157B">
      <w:pPr>
        <w:rPr>
          <w:sz w:val="24"/>
          <w:lang w:val="en-GB"/>
        </w:rPr>
      </w:pPr>
      <w:r>
        <w:rPr>
          <w:sz w:val="24"/>
          <w:lang w:val="en-GB"/>
        </w:rPr>
        <w:br w:type="page"/>
      </w:r>
    </w:p>
    <w:p w14:paraId="5B7021A7" w14:textId="77777777" w:rsidR="002A4B49" w:rsidRDefault="002A4B49" w:rsidP="002A4B49">
      <w:pPr>
        <w:pStyle w:val="Heading2"/>
        <w:rPr>
          <w:lang w:val="en-GB"/>
        </w:rPr>
      </w:pPr>
      <w:bookmarkStart w:id="56" w:name="_Toc211422668"/>
      <w:r w:rsidRPr="00AF157B">
        <w:rPr>
          <w:lang w:val="en-GB"/>
        </w:rPr>
        <w:lastRenderedPageBreak/>
        <w:t>Summary Statement of Financial Performance</w:t>
      </w:r>
      <w:bookmarkEnd w:id="56"/>
    </w:p>
    <w:tbl>
      <w:tblPr>
        <w:tblStyle w:val="TableGrid"/>
        <w:tblW w:w="9252" w:type="dxa"/>
        <w:tblLayout w:type="fixed"/>
        <w:tblCellMar>
          <w:top w:w="115" w:type="dxa"/>
          <w:bottom w:w="115" w:type="dxa"/>
        </w:tblCellMar>
        <w:tblLook w:val="04A0" w:firstRow="1" w:lastRow="0" w:firstColumn="1" w:lastColumn="0" w:noHBand="0" w:noVBand="1"/>
      </w:tblPr>
      <w:tblGrid>
        <w:gridCol w:w="3964"/>
        <w:gridCol w:w="1057"/>
        <w:gridCol w:w="1058"/>
        <w:gridCol w:w="1057"/>
        <w:gridCol w:w="1058"/>
        <w:gridCol w:w="1058"/>
      </w:tblGrid>
      <w:tr w:rsidR="002A4B49" w:rsidRPr="009F247D" w14:paraId="1BC70B2C" w14:textId="77777777" w:rsidTr="00853B07">
        <w:trPr>
          <w:cantSplit/>
        </w:trPr>
        <w:tc>
          <w:tcPr>
            <w:tcW w:w="3964" w:type="dxa"/>
            <w:shd w:val="clear" w:color="auto" w:fill="BFBFBF" w:themeFill="background1" w:themeFillShade="BF"/>
          </w:tcPr>
          <w:p w14:paraId="77C7EA64" w14:textId="77777777" w:rsidR="002A4B49" w:rsidRPr="00AF157B" w:rsidRDefault="002A4B49" w:rsidP="00853B07">
            <w:pPr>
              <w:rPr>
                <w:b/>
                <w:bCs/>
                <w:sz w:val="18"/>
                <w:szCs w:val="18"/>
                <w:lang w:val="en-US"/>
              </w:rPr>
            </w:pPr>
            <w:r w:rsidRPr="00AF157B">
              <w:rPr>
                <w:b/>
                <w:bCs/>
                <w:sz w:val="18"/>
                <w:szCs w:val="18"/>
                <w:lang w:val="en-US"/>
              </w:rPr>
              <w:t>For the financial year ended 30 June 2025</w:t>
            </w:r>
          </w:p>
        </w:tc>
        <w:tc>
          <w:tcPr>
            <w:tcW w:w="1057" w:type="dxa"/>
            <w:shd w:val="clear" w:color="auto" w:fill="BFBFBF" w:themeFill="background1" w:themeFillShade="BF"/>
          </w:tcPr>
          <w:p w14:paraId="4B77FFA7" w14:textId="77777777" w:rsidR="002A4B49" w:rsidRPr="00AF157B" w:rsidRDefault="002A4B49" w:rsidP="00853B07">
            <w:pPr>
              <w:rPr>
                <w:b/>
                <w:bCs/>
                <w:sz w:val="18"/>
                <w:szCs w:val="18"/>
                <w:lang w:val="en-US"/>
              </w:rPr>
            </w:pPr>
            <w:r w:rsidRPr="00AF157B">
              <w:rPr>
                <w:b/>
                <w:bCs/>
                <w:sz w:val="18"/>
                <w:szCs w:val="18"/>
                <w:lang w:val="en-US"/>
              </w:rPr>
              <w:t>Council</w:t>
            </w:r>
          </w:p>
          <w:p w14:paraId="55979749" w14:textId="77777777" w:rsidR="002A4B49" w:rsidRPr="00AF157B" w:rsidRDefault="002A4B49" w:rsidP="00853B07">
            <w:pPr>
              <w:rPr>
                <w:b/>
                <w:bCs/>
                <w:sz w:val="18"/>
                <w:szCs w:val="18"/>
                <w:lang w:val="en-US"/>
              </w:rPr>
            </w:pPr>
            <w:r w:rsidRPr="00AF157B">
              <w:rPr>
                <w:b/>
                <w:bCs/>
                <w:sz w:val="18"/>
                <w:szCs w:val="18"/>
                <w:lang w:val="en-US"/>
              </w:rPr>
              <w:t>202</w:t>
            </w:r>
            <w:r>
              <w:rPr>
                <w:b/>
                <w:bCs/>
                <w:sz w:val="18"/>
                <w:szCs w:val="18"/>
                <w:lang w:val="en-US"/>
              </w:rPr>
              <w:t>5</w:t>
            </w:r>
          </w:p>
          <w:p w14:paraId="3393C1C2" w14:textId="77777777" w:rsidR="002A4B49" w:rsidRPr="00AF157B" w:rsidRDefault="002A4B49" w:rsidP="00853B07">
            <w:pPr>
              <w:rPr>
                <w:b/>
                <w:bCs/>
                <w:sz w:val="18"/>
                <w:szCs w:val="18"/>
                <w:lang w:val="en-US"/>
              </w:rPr>
            </w:pPr>
            <w:r w:rsidRPr="00AF157B">
              <w:rPr>
                <w:b/>
                <w:bCs/>
                <w:sz w:val="18"/>
                <w:szCs w:val="18"/>
                <w:lang w:val="en-US"/>
              </w:rPr>
              <w:t>$’000</w:t>
            </w:r>
          </w:p>
        </w:tc>
        <w:tc>
          <w:tcPr>
            <w:tcW w:w="1058" w:type="dxa"/>
            <w:shd w:val="clear" w:color="auto" w:fill="BFBFBF" w:themeFill="background1" w:themeFillShade="BF"/>
          </w:tcPr>
          <w:p w14:paraId="467CFB14" w14:textId="77777777" w:rsidR="002A4B49" w:rsidRPr="00AF157B" w:rsidRDefault="002A4B49" w:rsidP="00853B07">
            <w:pPr>
              <w:rPr>
                <w:b/>
                <w:bCs/>
                <w:sz w:val="18"/>
                <w:szCs w:val="18"/>
                <w:lang w:val="en-US"/>
              </w:rPr>
            </w:pPr>
            <w:r w:rsidRPr="00AF157B">
              <w:rPr>
                <w:b/>
                <w:bCs/>
                <w:sz w:val="18"/>
                <w:szCs w:val="18"/>
                <w:lang w:val="en-US"/>
              </w:rPr>
              <w:t>Council</w:t>
            </w:r>
          </w:p>
          <w:p w14:paraId="43B912AB" w14:textId="77777777" w:rsidR="002A4B49" w:rsidRPr="00AF157B" w:rsidRDefault="002A4B49" w:rsidP="00853B07">
            <w:pPr>
              <w:rPr>
                <w:b/>
                <w:bCs/>
                <w:sz w:val="18"/>
                <w:szCs w:val="18"/>
                <w:lang w:val="en-US"/>
              </w:rPr>
            </w:pPr>
            <w:r w:rsidRPr="00AF157B">
              <w:rPr>
                <w:b/>
                <w:bCs/>
                <w:sz w:val="18"/>
                <w:szCs w:val="18"/>
                <w:lang w:val="en-US"/>
              </w:rPr>
              <w:t>Budget</w:t>
            </w:r>
          </w:p>
          <w:p w14:paraId="2E0E133F" w14:textId="77777777" w:rsidR="002A4B49" w:rsidRPr="00AF157B" w:rsidRDefault="002A4B49" w:rsidP="00853B07">
            <w:pPr>
              <w:rPr>
                <w:b/>
                <w:bCs/>
                <w:sz w:val="18"/>
                <w:szCs w:val="18"/>
                <w:lang w:val="en-US"/>
              </w:rPr>
            </w:pPr>
            <w:r w:rsidRPr="00AF157B">
              <w:rPr>
                <w:b/>
                <w:bCs/>
                <w:sz w:val="18"/>
                <w:szCs w:val="18"/>
                <w:lang w:val="en-US"/>
              </w:rPr>
              <w:t>$’000</w:t>
            </w:r>
          </w:p>
        </w:tc>
        <w:tc>
          <w:tcPr>
            <w:tcW w:w="1057" w:type="dxa"/>
            <w:shd w:val="clear" w:color="auto" w:fill="BFBFBF" w:themeFill="background1" w:themeFillShade="BF"/>
          </w:tcPr>
          <w:p w14:paraId="6D052BA7" w14:textId="77777777" w:rsidR="002A4B49" w:rsidRPr="00AF157B" w:rsidRDefault="002A4B49" w:rsidP="00853B07">
            <w:pPr>
              <w:rPr>
                <w:b/>
                <w:bCs/>
                <w:sz w:val="18"/>
                <w:szCs w:val="18"/>
                <w:lang w:val="en-US"/>
              </w:rPr>
            </w:pPr>
            <w:r w:rsidRPr="00AF157B">
              <w:rPr>
                <w:b/>
                <w:bCs/>
                <w:sz w:val="18"/>
                <w:szCs w:val="18"/>
                <w:lang w:val="en-US"/>
              </w:rPr>
              <w:t>Council</w:t>
            </w:r>
          </w:p>
          <w:p w14:paraId="7A68A8B7" w14:textId="77777777" w:rsidR="002A4B49" w:rsidRPr="00AF157B" w:rsidRDefault="002A4B49" w:rsidP="00853B07">
            <w:pPr>
              <w:rPr>
                <w:b/>
                <w:bCs/>
                <w:sz w:val="18"/>
                <w:szCs w:val="18"/>
                <w:lang w:val="en-US"/>
              </w:rPr>
            </w:pPr>
            <w:r w:rsidRPr="00AF157B">
              <w:rPr>
                <w:b/>
                <w:bCs/>
                <w:sz w:val="18"/>
                <w:szCs w:val="18"/>
                <w:lang w:val="en-US"/>
              </w:rPr>
              <w:t>202</w:t>
            </w:r>
            <w:r>
              <w:rPr>
                <w:b/>
                <w:bCs/>
                <w:sz w:val="18"/>
                <w:szCs w:val="18"/>
                <w:lang w:val="en-US"/>
              </w:rPr>
              <w:t>4 Restated (</w:t>
            </w:r>
            <w:proofErr w:type="spellStart"/>
            <w:r>
              <w:rPr>
                <w:b/>
                <w:bCs/>
                <w:sz w:val="18"/>
                <w:szCs w:val="18"/>
                <w:lang w:val="en-US"/>
              </w:rPr>
              <w:t>i</w:t>
            </w:r>
            <w:proofErr w:type="spellEnd"/>
            <w:r>
              <w:rPr>
                <w:b/>
                <w:bCs/>
                <w:sz w:val="18"/>
                <w:szCs w:val="18"/>
                <w:lang w:val="en-US"/>
              </w:rPr>
              <w:t xml:space="preserve">) </w:t>
            </w:r>
            <w:r w:rsidRPr="00AF157B">
              <w:rPr>
                <w:b/>
                <w:bCs/>
                <w:sz w:val="18"/>
                <w:szCs w:val="18"/>
                <w:lang w:val="en-US"/>
              </w:rPr>
              <w:t>$’000</w:t>
            </w:r>
          </w:p>
        </w:tc>
        <w:tc>
          <w:tcPr>
            <w:tcW w:w="1058" w:type="dxa"/>
            <w:shd w:val="clear" w:color="auto" w:fill="BFBFBF" w:themeFill="background1" w:themeFillShade="BF"/>
          </w:tcPr>
          <w:p w14:paraId="1C1D68D9" w14:textId="77777777" w:rsidR="002A4B49" w:rsidRPr="00AF157B" w:rsidRDefault="002A4B49" w:rsidP="00853B07">
            <w:pPr>
              <w:rPr>
                <w:b/>
                <w:bCs/>
                <w:sz w:val="18"/>
                <w:szCs w:val="18"/>
                <w:lang w:val="en-US"/>
              </w:rPr>
            </w:pPr>
            <w:r w:rsidRPr="00AF157B">
              <w:rPr>
                <w:b/>
                <w:bCs/>
                <w:sz w:val="18"/>
                <w:szCs w:val="18"/>
                <w:lang w:val="en-US"/>
              </w:rPr>
              <w:t>Group</w:t>
            </w:r>
          </w:p>
          <w:p w14:paraId="2F4C03C1" w14:textId="77777777" w:rsidR="002A4B49" w:rsidRPr="00AF157B" w:rsidRDefault="002A4B49" w:rsidP="00853B07">
            <w:pPr>
              <w:rPr>
                <w:b/>
                <w:bCs/>
                <w:sz w:val="18"/>
                <w:szCs w:val="18"/>
                <w:lang w:val="en-US"/>
              </w:rPr>
            </w:pPr>
            <w:r w:rsidRPr="00AF157B">
              <w:rPr>
                <w:b/>
                <w:bCs/>
                <w:sz w:val="18"/>
                <w:szCs w:val="18"/>
                <w:lang w:val="en-US"/>
              </w:rPr>
              <w:t>202</w:t>
            </w:r>
            <w:r>
              <w:rPr>
                <w:b/>
                <w:bCs/>
                <w:sz w:val="18"/>
                <w:szCs w:val="18"/>
                <w:lang w:val="en-US"/>
              </w:rPr>
              <w:t>5</w:t>
            </w:r>
          </w:p>
          <w:p w14:paraId="1238E26D" w14:textId="77777777" w:rsidR="002A4B49" w:rsidRPr="00AF157B" w:rsidRDefault="002A4B49" w:rsidP="00853B07">
            <w:pPr>
              <w:rPr>
                <w:b/>
                <w:bCs/>
                <w:sz w:val="18"/>
                <w:szCs w:val="18"/>
                <w:lang w:val="en-US"/>
              </w:rPr>
            </w:pPr>
            <w:r w:rsidRPr="00AF157B">
              <w:rPr>
                <w:b/>
                <w:bCs/>
                <w:sz w:val="18"/>
                <w:szCs w:val="18"/>
                <w:lang w:val="en-US"/>
              </w:rPr>
              <w:t>$’000</w:t>
            </w:r>
          </w:p>
        </w:tc>
        <w:tc>
          <w:tcPr>
            <w:tcW w:w="1058" w:type="dxa"/>
            <w:shd w:val="clear" w:color="auto" w:fill="BFBFBF" w:themeFill="background1" w:themeFillShade="BF"/>
          </w:tcPr>
          <w:p w14:paraId="2B5324E0" w14:textId="77777777" w:rsidR="002A4B49" w:rsidRPr="00AF157B" w:rsidRDefault="002A4B49" w:rsidP="00853B07">
            <w:pPr>
              <w:rPr>
                <w:b/>
                <w:bCs/>
                <w:sz w:val="18"/>
                <w:szCs w:val="18"/>
                <w:lang w:val="en-US"/>
              </w:rPr>
            </w:pPr>
            <w:r w:rsidRPr="00AF157B">
              <w:rPr>
                <w:b/>
                <w:bCs/>
                <w:sz w:val="18"/>
                <w:szCs w:val="18"/>
                <w:lang w:val="en-US"/>
              </w:rPr>
              <w:t>Group</w:t>
            </w:r>
          </w:p>
          <w:p w14:paraId="2FBA5E79" w14:textId="77777777" w:rsidR="002A4B49" w:rsidRPr="00AF157B" w:rsidRDefault="002A4B49" w:rsidP="00853B07">
            <w:pPr>
              <w:rPr>
                <w:b/>
                <w:bCs/>
                <w:sz w:val="18"/>
                <w:szCs w:val="18"/>
                <w:lang w:val="en-US"/>
              </w:rPr>
            </w:pPr>
            <w:r w:rsidRPr="00AF157B">
              <w:rPr>
                <w:b/>
                <w:bCs/>
                <w:sz w:val="18"/>
                <w:szCs w:val="18"/>
                <w:lang w:val="en-US"/>
              </w:rPr>
              <w:t>202</w:t>
            </w:r>
            <w:r>
              <w:rPr>
                <w:b/>
                <w:bCs/>
                <w:sz w:val="18"/>
                <w:szCs w:val="18"/>
                <w:lang w:val="en-US"/>
              </w:rPr>
              <w:t>4 Restated (</w:t>
            </w:r>
            <w:proofErr w:type="spellStart"/>
            <w:r>
              <w:rPr>
                <w:b/>
                <w:bCs/>
                <w:sz w:val="18"/>
                <w:szCs w:val="18"/>
                <w:lang w:val="en-US"/>
              </w:rPr>
              <w:t>i</w:t>
            </w:r>
            <w:proofErr w:type="spellEnd"/>
            <w:r>
              <w:rPr>
                <w:b/>
                <w:bCs/>
                <w:sz w:val="18"/>
                <w:szCs w:val="18"/>
                <w:lang w:val="en-US"/>
              </w:rPr>
              <w:t xml:space="preserve">) </w:t>
            </w:r>
            <w:r w:rsidRPr="00AF157B">
              <w:rPr>
                <w:b/>
                <w:bCs/>
                <w:sz w:val="18"/>
                <w:szCs w:val="18"/>
                <w:lang w:val="en-US"/>
              </w:rPr>
              <w:t>$’000</w:t>
            </w:r>
          </w:p>
        </w:tc>
      </w:tr>
      <w:tr w:rsidR="002A4B49" w:rsidRPr="009F247D" w14:paraId="4544C711" w14:textId="77777777" w:rsidTr="00853B07">
        <w:trPr>
          <w:cantSplit/>
          <w:trHeight w:val="15"/>
        </w:trPr>
        <w:tc>
          <w:tcPr>
            <w:tcW w:w="9252" w:type="dxa"/>
            <w:gridSpan w:val="6"/>
            <w:shd w:val="clear" w:color="auto" w:fill="FFFFFF" w:themeFill="background1"/>
          </w:tcPr>
          <w:p w14:paraId="3E0447D7" w14:textId="77777777" w:rsidR="002A4B49" w:rsidRPr="00AF157B" w:rsidRDefault="002A4B49" w:rsidP="00853B07">
            <w:pPr>
              <w:rPr>
                <w:rFonts w:cs="HelveticaNeueLT Std"/>
                <w:b/>
                <w:bCs/>
                <w:sz w:val="18"/>
                <w:szCs w:val="18"/>
              </w:rPr>
            </w:pPr>
            <w:r w:rsidRPr="00AF157B">
              <w:rPr>
                <w:b/>
                <w:bCs/>
                <w:sz w:val="18"/>
                <w:szCs w:val="18"/>
              </w:rPr>
              <w:t>Operating revenue</w:t>
            </w:r>
          </w:p>
        </w:tc>
      </w:tr>
      <w:tr w:rsidR="002A4B49" w:rsidRPr="009F247D" w14:paraId="5A41E8CF" w14:textId="77777777" w:rsidTr="00853B07">
        <w:trPr>
          <w:cantSplit/>
          <w:trHeight w:val="15"/>
        </w:trPr>
        <w:tc>
          <w:tcPr>
            <w:tcW w:w="9252" w:type="dxa"/>
            <w:gridSpan w:val="6"/>
            <w:shd w:val="clear" w:color="auto" w:fill="FFFFFF" w:themeFill="background1"/>
          </w:tcPr>
          <w:p w14:paraId="7A95A759" w14:textId="77777777" w:rsidR="002A4B49" w:rsidRPr="00AF157B" w:rsidRDefault="002A4B49" w:rsidP="00853B07">
            <w:pPr>
              <w:rPr>
                <w:b/>
                <w:bCs/>
                <w:i/>
                <w:iCs/>
                <w:sz w:val="18"/>
                <w:szCs w:val="18"/>
              </w:rPr>
            </w:pPr>
            <w:r w:rsidRPr="00AF157B">
              <w:rPr>
                <w:b/>
                <w:bCs/>
                <w:i/>
                <w:iCs/>
                <w:sz w:val="18"/>
                <w:szCs w:val="18"/>
              </w:rPr>
              <w:t>Revenue from non-exchange transactions</w:t>
            </w:r>
          </w:p>
        </w:tc>
      </w:tr>
      <w:tr w:rsidR="002A4B49" w:rsidRPr="009F247D" w14:paraId="0E336C2E" w14:textId="77777777" w:rsidTr="00853B07">
        <w:trPr>
          <w:cantSplit/>
          <w:trHeight w:val="15"/>
        </w:trPr>
        <w:tc>
          <w:tcPr>
            <w:tcW w:w="3964" w:type="dxa"/>
            <w:shd w:val="clear" w:color="auto" w:fill="FFFFFF" w:themeFill="background1"/>
          </w:tcPr>
          <w:p w14:paraId="2D8D2132" w14:textId="77777777" w:rsidR="002A4B49" w:rsidRPr="00AF157B" w:rsidRDefault="002A4B49" w:rsidP="00853B07">
            <w:pPr>
              <w:rPr>
                <w:sz w:val="18"/>
                <w:szCs w:val="18"/>
              </w:rPr>
            </w:pPr>
            <w:r w:rsidRPr="00AF157B">
              <w:rPr>
                <w:sz w:val="18"/>
                <w:szCs w:val="18"/>
              </w:rPr>
              <w:t>Rates revenue</w:t>
            </w:r>
          </w:p>
        </w:tc>
        <w:tc>
          <w:tcPr>
            <w:tcW w:w="1057" w:type="dxa"/>
            <w:shd w:val="clear" w:color="auto" w:fill="FFFFFF" w:themeFill="background1"/>
          </w:tcPr>
          <w:p w14:paraId="1A3F4665" w14:textId="77777777" w:rsidR="002A4B49" w:rsidRPr="006F4B5B" w:rsidRDefault="002A4B49" w:rsidP="00500872">
            <w:pPr>
              <w:jc w:val="right"/>
              <w:rPr>
                <w:sz w:val="18"/>
                <w:szCs w:val="18"/>
              </w:rPr>
            </w:pPr>
            <w:r w:rsidRPr="006F4B5B">
              <w:rPr>
                <w:sz w:val="18"/>
                <w:szCs w:val="18"/>
              </w:rPr>
              <w:t xml:space="preserve"> 147,547 </w:t>
            </w:r>
          </w:p>
        </w:tc>
        <w:tc>
          <w:tcPr>
            <w:tcW w:w="1058" w:type="dxa"/>
            <w:shd w:val="clear" w:color="auto" w:fill="FFFFFF" w:themeFill="background1"/>
          </w:tcPr>
          <w:p w14:paraId="087C5242" w14:textId="77777777" w:rsidR="002A4B49" w:rsidRPr="006F4B5B" w:rsidRDefault="002A4B49" w:rsidP="00500872">
            <w:pPr>
              <w:jc w:val="right"/>
              <w:rPr>
                <w:sz w:val="18"/>
                <w:szCs w:val="18"/>
              </w:rPr>
            </w:pPr>
            <w:r w:rsidRPr="006F4B5B">
              <w:rPr>
                <w:sz w:val="18"/>
                <w:szCs w:val="18"/>
              </w:rPr>
              <w:t xml:space="preserve"> 149,410 </w:t>
            </w:r>
          </w:p>
        </w:tc>
        <w:tc>
          <w:tcPr>
            <w:tcW w:w="1057" w:type="dxa"/>
            <w:shd w:val="clear" w:color="auto" w:fill="FFFFFF" w:themeFill="background1"/>
          </w:tcPr>
          <w:p w14:paraId="246C5EFB" w14:textId="77777777" w:rsidR="002A4B49" w:rsidRPr="006F4B5B" w:rsidRDefault="002A4B49" w:rsidP="00500872">
            <w:pPr>
              <w:jc w:val="right"/>
              <w:rPr>
                <w:sz w:val="18"/>
                <w:szCs w:val="18"/>
              </w:rPr>
            </w:pPr>
            <w:r w:rsidRPr="006F4B5B">
              <w:rPr>
                <w:sz w:val="18"/>
                <w:szCs w:val="18"/>
              </w:rPr>
              <w:t xml:space="preserve"> 123,066 </w:t>
            </w:r>
          </w:p>
        </w:tc>
        <w:tc>
          <w:tcPr>
            <w:tcW w:w="1058" w:type="dxa"/>
            <w:shd w:val="clear" w:color="auto" w:fill="FFFFFF" w:themeFill="background1"/>
          </w:tcPr>
          <w:p w14:paraId="6C849514" w14:textId="77777777" w:rsidR="002A4B49" w:rsidRPr="006F4B5B" w:rsidRDefault="002A4B49" w:rsidP="00500872">
            <w:pPr>
              <w:jc w:val="right"/>
              <w:rPr>
                <w:sz w:val="18"/>
                <w:szCs w:val="18"/>
              </w:rPr>
            </w:pPr>
            <w:r w:rsidRPr="006F4B5B">
              <w:rPr>
                <w:sz w:val="18"/>
                <w:szCs w:val="18"/>
              </w:rPr>
              <w:t xml:space="preserve"> 147,076 </w:t>
            </w:r>
          </w:p>
        </w:tc>
        <w:tc>
          <w:tcPr>
            <w:tcW w:w="1058" w:type="dxa"/>
            <w:shd w:val="clear" w:color="auto" w:fill="FFFFFF" w:themeFill="background1"/>
          </w:tcPr>
          <w:p w14:paraId="35580E90" w14:textId="77777777" w:rsidR="002A4B49" w:rsidRPr="006F4B5B" w:rsidRDefault="002A4B49" w:rsidP="00500872">
            <w:pPr>
              <w:jc w:val="right"/>
              <w:rPr>
                <w:sz w:val="18"/>
                <w:szCs w:val="18"/>
              </w:rPr>
            </w:pPr>
            <w:r w:rsidRPr="006F4B5B">
              <w:rPr>
                <w:sz w:val="18"/>
                <w:szCs w:val="18"/>
              </w:rPr>
              <w:t xml:space="preserve"> 122,601 </w:t>
            </w:r>
          </w:p>
        </w:tc>
      </w:tr>
      <w:tr w:rsidR="002A4B49" w:rsidRPr="009F247D" w14:paraId="5720501A" w14:textId="77777777" w:rsidTr="00853B07">
        <w:trPr>
          <w:cantSplit/>
          <w:trHeight w:val="15"/>
        </w:trPr>
        <w:tc>
          <w:tcPr>
            <w:tcW w:w="3964" w:type="dxa"/>
            <w:shd w:val="clear" w:color="auto" w:fill="FFFFFF" w:themeFill="background1"/>
          </w:tcPr>
          <w:p w14:paraId="65C9C739" w14:textId="77777777" w:rsidR="002A4B49" w:rsidRPr="006F4B5B" w:rsidRDefault="002A4B49" w:rsidP="00853B07">
            <w:pPr>
              <w:rPr>
                <w:sz w:val="18"/>
                <w:szCs w:val="18"/>
              </w:rPr>
            </w:pPr>
            <w:r w:rsidRPr="006F4B5B">
              <w:rPr>
                <w:sz w:val="18"/>
                <w:szCs w:val="18"/>
              </w:rPr>
              <w:t>Other revenue</w:t>
            </w:r>
          </w:p>
        </w:tc>
        <w:tc>
          <w:tcPr>
            <w:tcW w:w="1057" w:type="dxa"/>
            <w:shd w:val="clear" w:color="auto" w:fill="FFFFFF" w:themeFill="background1"/>
          </w:tcPr>
          <w:p w14:paraId="08ECBD7D" w14:textId="77777777" w:rsidR="002A4B49" w:rsidRPr="006F4B5B" w:rsidRDefault="002A4B49" w:rsidP="00500872">
            <w:pPr>
              <w:jc w:val="right"/>
              <w:rPr>
                <w:sz w:val="18"/>
                <w:szCs w:val="18"/>
              </w:rPr>
            </w:pPr>
            <w:r w:rsidRPr="006F4B5B">
              <w:rPr>
                <w:sz w:val="18"/>
                <w:szCs w:val="18"/>
              </w:rPr>
              <w:t xml:space="preserve"> 113,367 </w:t>
            </w:r>
          </w:p>
        </w:tc>
        <w:tc>
          <w:tcPr>
            <w:tcW w:w="1058" w:type="dxa"/>
            <w:shd w:val="clear" w:color="auto" w:fill="FFFFFF" w:themeFill="background1"/>
          </w:tcPr>
          <w:p w14:paraId="7D2E0779" w14:textId="77777777" w:rsidR="002A4B49" w:rsidRPr="006F4B5B" w:rsidRDefault="002A4B49" w:rsidP="00500872">
            <w:pPr>
              <w:jc w:val="right"/>
              <w:rPr>
                <w:sz w:val="18"/>
                <w:szCs w:val="18"/>
              </w:rPr>
            </w:pPr>
            <w:r w:rsidRPr="006F4B5B">
              <w:rPr>
                <w:sz w:val="18"/>
                <w:szCs w:val="18"/>
              </w:rPr>
              <w:t xml:space="preserve"> 108,746 </w:t>
            </w:r>
          </w:p>
        </w:tc>
        <w:tc>
          <w:tcPr>
            <w:tcW w:w="1057" w:type="dxa"/>
            <w:shd w:val="clear" w:color="auto" w:fill="FFFFFF" w:themeFill="background1"/>
          </w:tcPr>
          <w:p w14:paraId="69E1AD75" w14:textId="77777777" w:rsidR="002A4B49" w:rsidRPr="006F4B5B" w:rsidRDefault="002A4B49" w:rsidP="00500872">
            <w:pPr>
              <w:jc w:val="right"/>
              <w:rPr>
                <w:sz w:val="18"/>
                <w:szCs w:val="18"/>
              </w:rPr>
            </w:pPr>
            <w:r w:rsidRPr="006F4B5B">
              <w:rPr>
                <w:sz w:val="18"/>
                <w:szCs w:val="18"/>
              </w:rPr>
              <w:t xml:space="preserve"> 196,742 </w:t>
            </w:r>
          </w:p>
        </w:tc>
        <w:tc>
          <w:tcPr>
            <w:tcW w:w="1058" w:type="dxa"/>
            <w:shd w:val="clear" w:color="auto" w:fill="FFFFFF" w:themeFill="background1"/>
          </w:tcPr>
          <w:p w14:paraId="11C84F21" w14:textId="77777777" w:rsidR="002A4B49" w:rsidRPr="006F4B5B" w:rsidRDefault="002A4B49" w:rsidP="00500872">
            <w:pPr>
              <w:jc w:val="right"/>
              <w:rPr>
                <w:sz w:val="18"/>
                <w:szCs w:val="18"/>
              </w:rPr>
            </w:pPr>
            <w:r w:rsidRPr="006F4B5B">
              <w:rPr>
                <w:sz w:val="18"/>
                <w:szCs w:val="18"/>
              </w:rPr>
              <w:t xml:space="preserve"> 113,367 </w:t>
            </w:r>
          </w:p>
        </w:tc>
        <w:tc>
          <w:tcPr>
            <w:tcW w:w="1058" w:type="dxa"/>
            <w:shd w:val="clear" w:color="auto" w:fill="FFFFFF" w:themeFill="background1"/>
          </w:tcPr>
          <w:p w14:paraId="4C904E80" w14:textId="77777777" w:rsidR="002A4B49" w:rsidRPr="006F4B5B" w:rsidRDefault="002A4B49" w:rsidP="00500872">
            <w:pPr>
              <w:jc w:val="right"/>
              <w:rPr>
                <w:sz w:val="18"/>
                <w:szCs w:val="18"/>
              </w:rPr>
            </w:pPr>
            <w:r w:rsidRPr="006F4B5B">
              <w:rPr>
                <w:sz w:val="18"/>
                <w:szCs w:val="18"/>
              </w:rPr>
              <w:t xml:space="preserve"> 196,742 </w:t>
            </w:r>
          </w:p>
        </w:tc>
      </w:tr>
      <w:tr w:rsidR="002A4B49" w:rsidRPr="009F247D" w14:paraId="618B42F4" w14:textId="77777777" w:rsidTr="00853B07">
        <w:trPr>
          <w:cantSplit/>
          <w:trHeight w:val="15"/>
        </w:trPr>
        <w:tc>
          <w:tcPr>
            <w:tcW w:w="9252" w:type="dxa"/>
            <w:gridSpan w:val="6"/>
            <w:shd w:val="clear" w:color="auto" w:fill="FFFFFF" w:themeFill="background1"/>
          </w:tcPr>
          <w:p w14:paraId="0DADD9DA" w14:textId="77777777" w:rsidR="002A4B49" w:rsidRPr="006F4B5B" w:rsidRDefault="002A4B49" w:rsidP="00853B07">
            <w:pPr>
              <w:rPr>
                <w:b/>
                <w:bCs/>
                <w:i/>
                <w:iCs/>
                <w:sz w:val="18"/>
                <w:szCs w:val="18"/>
              </w:rPr>
            </w:pPr>
            <w:r w:rsidRPr="006F4B5B">
              <w:rPr>
                <w:b/>
                <w:bCs/>
                <w:i/>
                <w:iCs/>
                <w:sz w:val="18"/>
                <w:szCs w:val="18"/>
              </w:rPr>
              <w:t>Revenue from exchange transactions</w:t>
            </w:r>
          </w:p>
        </w:tc>
      </w:tr>
      <w:tr w:rsidR="002A4B49" w:rsidRPr="009F247D" w14:paraId="01D10A93" w14:textId="77777777" w:rsidTr="00853B07">
        <w:trPr>
          <w:cantSplit/>
          <w:trHeight w:val="15"/>
        </w:trPr>
        <w:tc>
          <w:tcPr>
            <w:tcW w:w="3964" w:type="dxa"/>
            <w:shd w:val="clear" w:color="auto" w:fill="FFFFFF" w:themeFill="background1"/>
          </w:tcPr>
          <w:p w14:paraId="369484C6" w14:textId="77777777" w:rsidR="002A4B49" w:rsidRPr="006F4B5B" w:rsidRDefault="002A4B49" w:rsidP="00853B07">
            <w:pPr>
              <w:rPr>
                <w:sz w:val="18"/>
                <w:szCs w:val="18"/>
              </w:rPr>
            </w:pPr>
            <w:r w:rsidRPr="006F4B5B">
              <w:rPr>
                <w:sz w:val="18"/>
                <w:szCs w:val="18"/>
              </w:rPr>
              <w:t>Other revenue</w:t>
            </w:r>
          </w:p>
        </w:tc>
        <w:tc>
          <w:tcPr>
            <w:tcW w:w="1057" w:type="dxa"/>
            <w:shd w:val="clear" w:color="auto" w:fill="FFFFFF" w:themeFill="background1"/>
          </w:tcPr>
          <w:p w14:paraId="7AB67C9D" w14:textId="77777777" w:rsidR="002A4B49" w:rsidRPr="006F4B5B" w:rsidRDefault="002A4B49" w:rsidP="00500872">
            <w:pPr>
              <w:jc w:val="right"/>
              <w:rPr>
                <w:sz w:val="18"/>
                <w:szCs w:val="18"/>
              </w:rPr>
            </w:pPr>
            <w:r w:rsidRPr="006F4B5B">
              <w:rPr>
                <w:sz w:val="18"/>
                <w:szCs w:val="18"/>
              </w:rPr>
              <w:t xml:space="preserve"> 62,704 </w:t>
            </w:r>
          </w:p>
        </w:tc>
        <w:tc>
          <w:tcPr>
            <w:tcW w:w="1058" w:type="dxa"/>
            <w:shd w:val="clear" w:color="auto" w:fill="FFFFFF" w:themeFill="background1"/>
          </w:tcPr>
          <w:p w14:paraId="45D78753" w14:textId="77777777" w:rsidR="002A4B49" w:rsidRPr="006F4B5B" w:rsidRDefault="002A4B49" w:rsidP="00500872">
            <w:pPr>
              <w:jc w:val="right"/>
              <w:rPr>
                <w:sz w:val="18"/>
                <w:szCs w:val="18"/>
              </w:rPr>
            </w:pPr>
            <w:r w:rsidRPr="006F4B5B">
              <w:rPr>
                <w:sz w:val="18"/>
                <w:szCs w:val="18"/>
              </w:rPr>
              <w:t xml:space="preserve"> 55,882 </w:t>
            </w:r>
          </w:p>
        </w:tc>
        <w:tc>
          <w:tcPr>
            <w:tcW w:w="1057" w:type="dxa"/>
            <w:shd w:val="clear" w:color="auto" w:fill="FFFFFF" w:themeFill="background1"/>
          </w:tcPr>
          <w:p w14:paraId="786F5164" w14:textId="77777777" w:rsidR="002A4B49" w:rsidRPr="006F4B5B" w:rsidRDefault="002A4B49" w:rsidP="00500872">
            <w:pPr>
              <w:jc w:val="right"/>
              <w:rPr>
                <w:sz w:val="18"/>
                <w:szCs w:val="18"/>
              </w:rPr>
            </w:pPr>
            <w:r w:rsidRPr="006F4B5B">
              <w:rPr>
                <w:sz w:val="18"/>
                <w:szCs w:val="18"/>
              </w:rPr>
              <w:t xml:space="preserve"> 53,018 </w:t>
            </w:r>
          </w:p>
        </w:tc>
        <w:tc>
          <w:tcPr>
            <w:tcW w:w="1058" w:type="dxa"/>
            <w:shd w:val="clear" w:color="auto" w:fill="FFFFFF" w:themeFill="background1"/>
          </w:tcPr>
          <w:p w14:paraId="61926C27" w14:textId="77777777" w:rsidR="002A4B49" w:rsidRPr="006F4B5B" w:rsidRDefault="002A4B49" w:rsidP="00500872">
            <w:pPr>
              <w:jc w:val="right"/>
              <w:rPr>
                <w:sz w:val="18"/>
                <w:szCs w:val="18"/>
              </w:rPr>
            </w:pPr>
            <w:r w:rsidRPr="006F4B5B">
              <w:rPr>
                <w:sz w:val="18"/>
                <w:szCs w:val="18"/>
              </w:rPr>
              <w:t xml:space="preserve"> 126,225 </w:t>
            </w:r>
          </w:p>
        </w:tc>
        <w:tc>
          <w:tcPr>
            <w:tcW w:w="1058" w:type="dxa"/>
            <w:shd w:val="clear" w:color="auto" w:fill="FFFFFF" w:themeFill="background1"/>
          </w:tcPr>
          <w:p w14:paraId="494BF3B4" w14:textId="77777777" w:rsidR="002A4B49" w:rsidRPr="006F4B5B" w:rsidRDefault="002A4B49" w:rsidP="00500872">
            <w:pPr>
              <w:jc w:val="right"/>
              <w:rPr>
                <w:sz w:val="18"/>
                <w:szCs w:val="18"/>
              </w:rPr>
            </w:pPr>
            <w:r w:rsidRPr="006F4B5B">
              <w:rPr>
                <w:sz w:val="18"/>
                <w:szCs w:val="18"/>
              </w:rPr>
              <w:t xml:space="preserve"> 105,720 </w:t>
            </w:r>
          </w:p>
        </w:tc>
      </w:tr>
      <w:tr w:rsidR="002A4B49" w:rsidRPr="009F247D" w14:paraId="310C0C7E" w14:textId="77777777" w:rsidTr="00853B07">
        <w:trPr>
          <w:cantSplit/>
          <w:trHeight w:val="15"/>
        </w:trPr>
        <w:tc>
          <w:tcPr>
            <w:tcW w:w="3964" w:type="dxa"/>
            <w:shd w:val="clear" w:color="auto" w:fill="D9D9D9" w:themeFill="background1" w:themeFillShade="D9"/>
          </w:tcPr>
          <w:p w14:paraId="4B8F5622" w14:textId="77777777" w:rsidR="002A4B49" w:rsidRPr="006F4B5B" w:rsidRDefault="002A4B49" w:rsidP="00853B07">
            <w:pPr>
              <w:rPr>
                <w:b/>
                <w:bCs/>
                <w:sz w:val="18"/>
                <w:szCs w:val="18"/>
              </w:rPr>
            </w:pPr>
            <w:r w:rsidRPr="006F4B5B">
              <w:rPr>
                <w:b/>
                <w:bCs/>
                <w:sz w:val="18"/>
                <w:szCs w:val="18"/>
              </w:rPr>
              <w:t>Total revenue</w:t>
            </w:r>
          </w:p>
        </w:tc>
        <w:tc>
          <w:tcPr>
            <w:tcW w:w="1057" w:type="dxa"/>
            <w:shd w:val="clear" w:color="auto" w:fill="D9D9D9" w:themeFill="background1" w:themeFillShade="D9"/>
          </w:tcPr>
          <w:p w14:paraId="54E8410D" w14:textId="77777777" w:rsidR="002A4B49" w:rsidRPr="006F4B5B" w:rsidRDefault="002A4B49" w:rsidP="00500872">
            <w:pPr>
              <w:jc w:val="right"/>
              <w:rPr>
                <w:b/>
                <w:bCs/>
                <w:sz w:val="18"/>
                <w:szCs w:val="18"/>
              </w:rPr>
            </w:pPr>
            <w:r w:rsidRPr="006F4B5B">
              <w:rPr>
                <w:b/>
                <w:bCs/>
                <w:sz w:val="18"/>
                <w:szCs w:val="18"/>
              </w:rPr>
              <w:t xml:space="preserve"> 323,618 </w:t>
            </w:r>
          </w:p>
        </w:tc>
        <w:tc>
          <w:tcPr>
            <w:tcW w:w="1058" w:type="dxa"/>
            <w:shd w:val="clear" w:color="auto" w:fill="D9D9D9" w:themeFill="background1" w:themeFillShade="D9"/>
          </w:tcPr>
          <w:p w14:paraId="6D147360" w14:textId="77777777" w:rsidR="002A4B49" w:rsidRPr="006F4B5B" w:rsidRDefault="002A4B49" w:rsidP="00500872">
            <w:pPr>
              <w:jc w:val="right"/>
              <w:rPr>
                <w:b/>
                <w:bCs/>
                <w:sz w:val="18"/>
                <w:szCs w:val="18"/>
              </w:rPr>
            </w:pPr>
            <w:r w:rsidRPr="006F4B5B">
              <w:rPr>
                <w:b/>
                <w:bCs/>
                <w:sz w:val="18"/>
                <w:szCs w:val="18"/>
              </w:rPr>
              <w:t xml:space="preserve"> 314,038 </w:t>
            </w:r>
          </w:p>
        </w:tc>
        <w:tc>
          <w:tcPr>
            <w:tcW w:w="1057" w:type="dxa"/>
            <w:shd w:val="clear" w:color="auto" w:fill="D9D9D9" w:themeFill="background1" w:themeFillShade="D9"/>
          </w:tcPr>
          <w:p w14:paraId="449B1A0B" w14:textId="77777777" w:rsidR="002A4B49" w:rsidRPr="006F4B5B" w:rsidRDefault="002A4B49" w:rsidP="00500872">
            <w:pPr>
              <w:jc w:val="right"/>
              <w:rPr>
                <w:b/>
                <w:bCs/>
                <w:sz w:val="18"/>
                <w:szCs w:val="18"/>
              </w:rPr>
            </w:pPr>
            <w:r w:rsidRPr="006F4B5B">
              <w:rPr>
                <w:b/>
                <w:bCs/>
                <w:sz w:val="18"/>
                <w:szCs w:val="18"/>
              </w:rPr>
              <w:t xml:space="preserve"> 372,826 </w:t>
            </w:r>
          </w:p>
        </w:tc>
        <w:tc>
          <w:tcPr>
            <w:tcW w:w="1058" w:type="dxa"/>
            <w:shd w:val="clear" w:color="auto" w:fill="D9D9D9" w:themeFill="background1" w:themeFillShade="D9"/>
          </w:tcPr>
          <w:p w14:paraId="0D42EEB1" w14:textId="77777777" w:rsidR="002A4B49" w:rsidRPr="006F4B5B" w:rsidRDefault="002A4B49" w:rsidP="00500872">
            <w:pPr>
              <w:jc w:val="right"/>
              <w:rPr>
                <w:b/>
                <w:bCs/>
                <w:sz w:val="18"/>
                <w:szCs w:val="18"/>
              </w:rPr>
            </w:pPr>
            <w:r w:rsidRPr="006F4B5B">
              <w:rPr>
                <w:b/>
                <w:bCs/>
                <w:sz w:val="18"/>
                <w:szCs w:val="18"/>
              </w:rPr>
              <w:t xml:space="preserve"> 386,668 </w:t>
            </w:r>
          </w:p>
        </w:tc>
        <w:tc>
          <w:tcPr>
            <w:tcW w:w="1058" w:type="dxa"/>
            <w:shd w:val="clear" w:color="auto" w:fill="D9D9D9" w:themeFill="background1" w:themeFillShade="D9"/>
          </w:tcPr>
          <w:p w14:paraId="5BCBB5D8" w14:textId="77777777" w:rsidR="002A4B49" w:rsidRPr="006F4B5B" w:rsidRDefault="002A4B49" w:rsidP="00500872">
            <w:pPr>
              <w:jc w:val="right"/>
              <w:rPr>
                <w:b/>
                <w:bCs/>
                <w:sz w:val="18"/>
                <w:szCs w:val="18"/>
              </w:rPr>
            </w:pPr>
            <w:r w:rsidRPr="006F4B5B">
              <w:rPr>
                <w:b/>
                <w:bCs/>
                <w:sz w:val="18"/>
                <w:szCs w:val="18"/>
              </w:rPr>
              <w:t xml:space="preserve"> 425,063 </w:t>
            </w:r>
          </w:p>
        </w:tc>
      </w:tr>
      <w:tr w:rsidR="002A4B49" w:rsidRPr="009F247D" w14:paraId="02A582EA" w14:textId="77777777" w:rsidTr="00853B07">
        <w:trPr>
          <w:cantSplit/>
          <w:trHeight w:val="15"/>
        </w:trPr>
        <w:tc>
          <w:tcPr>
            <w:tcW w:w="9252" w:type="dxa"/>
            <w:gridSpan w:val="6"/>
            <w:shd w:val="clear" w:color="auto" w:fill="FFFFFF" w:themeFill="background1"/>
          </w:tcPr>
          <w:p w14:paraId="3647FC44" w14:textId="77777777" w:rsidR="002A4B49" w:rsidRPr="006F4B5B" w:rsidRDefault="002A4B49" w:rsidP="00853B07">
            <w:pPr>
              <w:rPr>
                <w:b/>
                <w:bCs/>
                <w:sz w:val="18"/>
                <w:szCs w:val="18"/>
              </w:rPr>
            </w:pPr>
            <w:r w:rsidRPr="006F4B5B">
              <w:rPr>
                <w:b/>
                <w:bCs/>
                <w:sz w:val="18"/>
                <w:szCs w:val="18"/>
              </w:rPr>
              <w:t>Operating expenditure</w:t>
            </w:r>
          </w:p>
        </w:tc>
      </w:tr>
      <w:tr w:rsidR="002A4B49" w:rsidRPr="009F247D" w14:paraId="5451B83C" w14:textId="77777777" w:rsidTr="00853B07">
        <w:trPr>
          <w:cantSplit/>
          <w:trHeight w:val="15"/>
        </w:trPr>
        <w:tc>
          <w:tcPr>
            <w:tcW w:w="3964" w:type="dxa"/>
            <w:shd w:val="clear" w:color="auto" w:fill="FFFFFF" w:themeFill="background1"/>
          </w:tcPr>
          <w:p w14:paraId="229C060E" w14:textId="77777777" w:rsidR="002A4B49" w:rsidRPr="006F4B5B" w:rsidRDefault="002A4B49" w:rsidP="00853B07">
            <w:pPr>
              <w:rPr>
                <w:sz w:val="18"/>
                <w:szCs w:val="18"/>
              </w:rPr>
            </w:pPr>
            <w:r w:rsidRPr="006F4B5B">
              <w:rPr>
                <w:sz w:val="18"/>
                <w:szCs w:val="18"/>
              </w:rPr>
              <w:t>Employee benefits expense</w:t>
            </w:r>
          </w:p>
        </w:tc>
        <w:tc>
          <w:tcPr>
            <w:tcW w:w="1057" w:type="dxa"/>
            <w:shd w:val="clear" w:color="auto" w:fill="FFFFFF" w:themeFill="background1"/>
          </w:tcPr>
          <w:p w14:paraId="56A0FFA8" w14:textId="77777777" w:rsidR="002A4B49" w:rsidRPr="006F4B5B" w:rsidRDefault="002A4B49" w:rsidP="00500872">
            <w:pPr>
              <w:jc w:val="right"/>
              <w:rPr>
                <w:sz w:val="18"/>
                <w:szCs w:val="18"/>
              </w:rPr>
            </w:pPr>
            <w:r w:rsidRPr="006F4B5B">
              <w:rPr>
                <w:sz w:val="18"/>
                <w:szCs w:val="18"/>
              </w:rPr>
              <w:t xml:space="preserve"> 54,908 </w:t>
            </w:r>
          </w:p>
        </w:tc>
        <w:tc>
          <w:tcPr>
            <w:tcW w:w="1058" w:type="dxa"/>
            <w:shd w:val="clear" w:color="auto" w:fill="FFFFFF" w:themeFill="background1"/>
          </w:tcPr>
          <w:p w14:paraId="797CC631" w14:textId="77777777" w:rsidR="002A4B49" w:rsidRPr="006F4B5B" w:rsidRDefault="002A4B49" w:rsidP="00500872">
            <w:pPr>
              <w:jc w:val="right"/>
              <w:rPr>
                <w:sz w:val="18"/>
                <w:szCs w:val="18"/>
              </w:rPr>
            </w:pPr>
            <w:r w:rsidRPr="006F4B5B">
              <w:rPr>
                <w:sz w:val="18"/>
                <w:szCs w:val="18"/>
              </w:rPr>
              <w:t xml:space="preserve"> 54,388 </w:t>
            </w:r>
          </w:p>
        </w:tc>
        <w:tc>
          <w:tcPr>
            <w:tcW w:w="1057" w:type="dxa"/>
            <w:shd w:val="clear" w:color="auto" w:fill="FFFFFF" w:themeFill="background1"/>
          </w:tcPr>
          <w:p w14:paraId="42CC30CC" w14:textId="77777777" w:rsidR="002A4B49" w:rsidRPr="006F4B5B" w:rsidRDefault="002A4B49" w:rsidP="00500872">
            <w:pPr>
              <w:jc w:val="right"/>
              <w:rPr>
                <w:sz w:val="18"/>
                <w:szCs w:val="18"/>
              </w:rPr>
            </w:pPr>
            <w:r w:rsidRPr="006F4B5B">
              <w:rPr>
                <w:sz w:val="18"/>
                <w:szCs w:val="18"/>
              </w:rPr>
              <w:t xml:space="preserve"> 48,487 </w:t>
            </w:r>
          </w:p>
        </w:tc>
        <w:tc>
          <w:tcPr>
            <w:tcW w:w="1058" w:type="dxa"/>
            <w:shd w:val="clear" w:color="auto" w:fill="FFFFFF" w:themeFill="background1"/>
          </w:tcPr>
          <w:p w14:paraId="2E78EAA3" w14:textId="77777777" w:rsidR="002A4B49" w:rsidRPr="006F4B5B" w:rsidRDefault="002A4B49" w:rsidP="00500872">
            <w:pPr>
              <w:jc w:val="right"/>
              <w:rPr>
                <w:sz w:val="18"/>
                <w:szCs w:val="18"/>
              </w:rPr>
            </w:pPr>
            <w:r w:rsidRPr="006F4B5B">
              <w:rPr>
                <w:sz w:val="18"/>
                <w:szCs w:val="18"/>
              </w:rPr>
              <w:t xml:space="preserve"> 64,720 </w:t>
            </w:r>
          </w:p>
        </w:tc>
        <w:tc>
          <w:tcPr>
            <w:tcW w:w="1058" w:type="dxa"/>
            <w:shd w:val="clear" w:color="auto" w:fill="FFFFFF" w:themeFill="background1"/>
          </w:tcPr>
          <w:p w14:paraId="6FCE3199" w14:textId="77777777" w:rsidR="002A4B49" w:rsidRPr="006F4B5B" w:rsidRDefault="002A4B49" w:rsidP="00500872">
            <w:pPr>
              <w:jc w:val="right"/>
              <w:rPr>
                <w:sz w:val="18"/>
                <w:szCs w:val="18"/>
              </w:rPr>
            </w:pPr>
            <w:r w:rsidRPr="006F4B5B">
              <w:rPr>
                <w:sz w:val="18"/>
                <w:szCs w:val="18"/>
              </w:rPr>
              <w:t xml:space="preserve"> 57,125 </w:t>
            </w:r>
          </w:p>
        </w:tc>
      </w:tr>
      <w:tr w:rsidR="002A4B49" w:rsidRPr="009F247D" w14:paraId="15C84FAA" w14:textId="77777777" w:rsidTr="00853B07">
        <w:trPr>
          <w:cantSplit/>
          <w:trHeight w:val="15"/>
        </w:trPr>
        <w:tc>
          <w:tcPr>
            <w:tcW w:w="3964" w:type="dxa"/>
            <w:shd w:val="clear" w:color="auto" w:fill="FFFFFF" w:themeFill="background1"/>
          </w:tcPr>
          <w:p w14:paraId="5E15C729" w14:textId="77777777" w:rsidR="002A4B49" w:rsidRPr="006F4B5B" w:rsidRDefault="002A4B49" w:rsidP="00853B07">
            <w:pPr>
              <w:rPr>
                <w:sz w:val="18"/>
                <w:szCs w:val="18"/>
              </w:rPr>
            </w:pPr>
            <w:r w:rsidRPr="006F4B5B">
              <w:rPr>
                <w:sz w:val="18"/>
                <w:szCs w:val="18"/>
              </w:rPr>
              <w:t>Depreciation and amortisation expense</w:t>
            </w:r>
          </w:p>
        </w:tc>
        <w:tc>
          <w:tcPr>
            <w:tcW w:w="1057" w:type="dxa"/>
            <w:shd w:val="clear" w:color="auto" w:fill="FFFFFF" w:themeFill="background1"/>
          </w:tcPr>
          <w:p w14:paraId="04866948" w14:textId="77777777" w:rsidR="002A4B49" w:rsidRPr="006F4B5B" w:rsidRDefault="002A4B49" w:rsidP="00500872">
            <w:pPr>
              <w:jc w:val="right"/>
              <w:rPr>
                <w:sz w:val="18"/>
                <w:szCs w:val="18"/>
              </w:rPr>
            </w:pPr>
            <w:r w:rsidRPr="006F4B5B">
              <w:rPr>
                <w:sz w:val="18"/>
                <w:szCs w:val="18"/>
              </w:rPr>
              <w:t xml:space="preserve"> 69,424 </w:t>
            </w:r>
          </w:p>
        </w:tc>
        <w:tc>
          <w:tcPr>
            <w:tcW w:w="1058" w:type="dxa"/>
            <w:shd w:val="clear" w:color="auto" w:fill="FFFFFF" w:themeFill="background1"/>
          </w:tcPr>
          <w:p w14:paraId="3381AC86" w14:textId="77777777" w:rsidR="002A4B49" w:rsidRPr="006F4B5B" w:rsidRDefault="002A4B49" w:rsidP="00500872">
            <w:pPr>
              <w:jc w:val="right"/>
              <w:rPr>
                <w:sz w:val="18"/>
                <w:szCs w:val="18"/>
              </w:rPr>
            </w:pPr>
            <w:r w:rsidRPr="006F4B5B">
              <w:rPr>
                <w:sz w:val="18"/>
                <w:szCs w:val="18"/>
              </w:rPr>
              <w:t xml:space="preserve"> 66,012 </w:t>
            </w:r>
          </w:p>
        </w:tc>
        <w:tc>
          <w:tcPr>
            <w:tcW w:w="1057" w:type="dxa"/>
            <w:shd w:val="clear" w:color="auto" w:fill="FFFFFF" w:themeFill="background1"/>
          </w:tcPr>
          <w:p w14:paraId="10C46175" w14:textId="77777777" w:rsidR="002A4B49" w:rsidRPr="006F4B5B" w:rsidRDefault="002A4B49" w:rsidP="00500872">
            <w:pPr>
              <w:jc w:val="right"/>
              <w:rPr>
                <w:sz w:val="18"/>
                <w:szCs w:val="18"/>
              </w:rPr>
            </w:pPr>
            <w:r w:rsidRPr="006F4B5B">
              <w:rPr>
                <w:sz w:val="18"/>
                <w:szCs w:val="18"/>
              </w:rPr>
              <w:t xml:space="preserve"> 64,369 </w:t>
            </w:r>
          </w:p>
        </w:tc>
        <w:tc>
          <w:tcPr>
            <w:tcW w:w="1058" w:type="dxa"/>
            <w:shd w:val="clear" w:color="auto" w:fill="FFFFFF" w:themeFill="background1"/>
          </w:tcPr>
          <w:p w14:paraId="58DB71A3" w14:textId="77777777" w:rsidR="002A4B49" w:rsidRPr="006F4B5B" w:rsidRDefault="002A4B49" w:rsidP="00500872">
            <w:pPr>
              <w:jc w:val="right"/>
              <w:rPr>
                <w:sz w:val="18"/>
                <w:szCs w:val="18"/>
              </w:rPr>
            </w:pPr>
            <w:r w:rsidRPr="006F4B5B">
              <w:rPr>
                <w:sz w:val="18"/>
                <w:szCs w:val="18"/>
              </w:rPr>
              <w:t xml:space="preserve"> 80,312 </w:t>
            </w:r>
          </w:p>
        </w:tc>
        <w:tc>
          <w:tcPr>
            <w:tcW w:w="1058" w:type="dxa"/>
            <w:shd w:val="clear" w:color="auto" w:fill="FFFFFF" w:themeFill="background1"/>
          </w:tcPr>
          <w:p w14:paraId="75A35387" w14:textId="77777777" w:rsidR="002A4B49" w:rsidRPr="006F4B5B" w:rsidRDefault="002A4B49" w:rsidP="00500872">
            <w:pPr>
              <w:jc w:val="right"/>
              <w:rPr>
                <w:sz w:val="18"/>
                <w:szCs w:val="18"/>
              </w:rPr>
            </w:pPr>
            <w:r w:rsidRPr="006F4B5B">
              <w:rPr>
                <w:sz w:val="18"/>
                <w:szCs w:val="18"/>
              </w:rPr>
              <w:t xml:space="preserve"> 74,758 </w:t>
            </w:r>
          </w:p>
        </w:tc>
      </w:tr>
      <w:tr w:rsidR="002A4B49" w:rsidRPr="009F247D" w14:paraId="7419C8AB" w14:textId="77777777" w:rsidTr="00853B07">
        <w:trPr>
          <w:cantSplit/>
          <w:trHeight w:val="15"/>
        </w:trPr>
        <w:tc>
          <w:tcPr>
            <w:tcW w:w="3964" w:type="dxa"/>
            <w:shd w:val="clear" w:color="auto" w:fill="FFFFFF" w:themeFill="background1"/>
          </w:tcPr>
          <w:p w14:paraId="40A4FCB5" w14:textId="77777777" w:rsidR="002A4B49" w:rsidRPr="006F4B5B" w:rsidRDefault="002A4B49" w:rsidP="00853B07">
            <w:pPr>
              <w:rPr>
                <w:sz w:val="18"/>
                <w:szCs w:val="18"/>
              </w:rPr>
            </w:pPr>
            <w:r w:rsidRPr="006F4B5B">
              <w:rPr>
                <w:sz w:val="18"/>
                <w:szCs w:val="18"/>
              </w:rPr>
              <w:t>Borrowing costs</w:t>
            </w:r>
          </w:p>
        </w:tc>
        <w:tc>
          <w:tcPr>
            <w:tcW w:w="1057" w:type="dxa"/>
            <w:shd w:val="clear" w:color="auto" w:fill="FFFFFF" w:themeFill="background1"/>
          </w:tcPr>
          <w:p w14:paraId="147F7E54" w14:textId="77777777" w:rsidR="002A4B49" w:rsidRPr="006F4B5B" w:rsidRDefault="002A4B49" w:rsidP="00500872">
            <w:pPr>
              <w:jc w:val="right"/>
              <w:rPr>
                <w:sz w:val="18"/>
                <w:szCs w:val="18"/>
              </w:rPr>
            </w:pPr>
            <w:r w:rsidRPr="006F4B5B">
              <w:rPr>
                <w:sz w:val="18"/>
                <w:szCs w:val="18"/>
              </w:rPr>
              <w:t xml:space="preserve"> 30,040 </w:t>
            </w:r>
          </w:p>
        </w:tc>
        <w:tc>
          <w:tcPr>
            <w:tcW w:w="1058" w:type="dxa"/>
            <w:shd w:val="clear" w:color="auto" w:fill="FFFFFF" w:themeFill="background1"/>
          </w:tcPr>
          <w:p w14:paraId="7A1E166F" w14:textId="77777777" w:rsidR="002A4B49" w:rsidRPr="006F4B5B" w:rsidRDefault="002A4B49" w:rsidP="00500872">
            <w:pPr>
              <w:jc w:val="right"/>
              <w:rPr>
                <w:sz w:val="18"/>
                <w:szCs w:val="18"/>
              </w:rPr>
            </w:pPr>
            <w:r w:rsidRPr="006F4B5B">
              <w:rPr>
                <w:sz w:val="18"/>
                <w:szCs w:val="18"/>
              </w:rPr>
              <w:t xml:space="preserve"> 30,002 </w:t>
            </w:r>
          </w:p>
        </w:tc>
        <w:tc>
          <w:tcPr>
            <w:tcW w:w="1057" w:type="dxa"/>
            <w:shd w:val="clear" w:color="auto" w:fill="FFFFFF" w:themeFill="background1"/>
          </w:tcPr>
          <w:p w14:paraId="6F4F89D2" w14:textId="77777777" w:rsidR="002A4B49" w:rsidRPr="006F4B5B" w:rsidRDefault="002A4B49" w:rsidP="00500872">
            <w:pPr>
              <w:jc w:val="right"/>
              <w:rPr>
                <w:sz w:val="18"/>
                <w:szCs w:val="18"/>
              </w:rPr>
            </w:pPr>
            <w:r w:rsidRPr="006F4B5B">
              <w:rPr>
                <w:sz w:val="18"/>
                <w:szCs w:val="18"/>
              </w:rPr>
              <w:t xml:space="preserve"> 31,172 </w:t>
            </w:r>
          </w:p>
        </w:tc>
        <w:tc>
          <w:tcPr>
            <w:tcW w:w="1058" w:type="dxa"/>
            <w:shd w:val="clear" w:color="auto" w:fill="FFFFFF" w:themeFill="background1"/>
          </w:tcPr>
          <w:p w14:paraId="596733E6" w14:textId="77777777" w:rsidR="002A4B49" w:rsidRPr="006F4B5B" w:rsidRDefault="002A4B49" w:rsidP="00500872">
            <w:pPr>
              <w:jc w:val="right"/>
              <w:rPr>
                <w:sz w:val="18"/>
                <w:szCs w:val="18"/>
              </w:rPr>
            </w:pPr>
            <w:r w:rsidRPr="006F4B5B">
              <w:rPr>
                <w:sz w:val="18"/>
                <w:szCs w:val="18"/>
              </w:rPr>
              <w:t xml:space="preserve"> 35,075 </w:t>
            </w:r>
          </w:p>
        </w:tc>
        <w:tc>
          <w:tcPr>
            <w:tcW w:w="1058" w:type="dxa"/>
            <w:shd w:val="clear" w:color="auto" w:fill="FFFFFF" w:themeFill="background1"/>
          </w:tcPr>
          <w:p w14:paraId="673EED12" w14:textId="77777777" w:rsidR="002A4B49" w:rsidRPr="006F4B5B" w:rsidRDefault="002A4B49" w:rsidP="00500872">
            <w:pPr>
              <w:jc w:val="right"/>
              <w:rPr>
                <w:sz w:val="18"/>
                <w:szCs w:val="18"/>
              </w:rPr>
            </w:pPr>
            <w:r w:rsidRPr="006F4B5B">
              <w:rPr>
                <w:sz w:val="18"/>
                <w:szCs w:val="18"/>
              </w:rPr>
              <w:t xml:space="preserve"> 34,043 </w:t>
            </w:r>
          </w:p>
        </w:tc>
      </w:tr>
      <w:tr w:rsidR="002A4B49" w:rsidRPr="009F247D" w14:paraId="65D11720" w14:textId="77777777" w:rsidTr="00853B07">
        <w:trPr>
          <w:cantSplit/>
          <w:trHeight w:val="15"/>
        </w:trPr>
        <w:tc>
          <w:tcPr>
            <w:tcW w:w="3964" w:type="dxa"/>
            <w:shd w:val="clear" w:color="auto" w:fill="FFFFFF" w:themeFill="background1"/>
          </w:tcPr>
          <w:p w14:paraId="1C342F00" w14:textId="77777777" w:rsidR="002A4B49" w:rsidRPr="006F4B5B" w:rsidRDefault="002A4B49" w:rsidP="00853B07">
            <w:pPr>
              <w:rPr>
                <w:sz w:val="18"/>
                <w:szCs w:val="18"/>
              </w:rPr>
            </w:pPr>
            <w:r w:rsidRPr="006F4B5B">
              <w:rPr>
                <w:sz w:val="18"/>
                <w:szCs w:val="18"/>
              </w:rPr>
              <w:t>Other expenses</w:t>
            </w:r>
          </w:p>
        </w:tc>
        <w:tc>
          <w:tcPr>
            <w:tcW w:w="1057" w:type="dxa"/>
            <w:shd w:val="clear" w:color="auto" w:fill="FFFFFF" w:themeFill="background1"/>
          </w:tcPr>
          <w:p w14:paraId="18FBD59D" w14:textId="77777777" w:rsidR="002A4B49" w:rsidRPr="006F4B5B" w:rsidRDefault="002A4B49" w:rsidP="00500872">
            <w:pPr>
              <w:jc w:val="right"/>
              <w:rPr>
                <w:sz w:val="18"/>
                <w:szCs w:val="18"/>
              </w:rPr>
            </w:pPr>
            <w:r w:rsidRPr="006F4B5B">
              <w:rPr>
                <w:sz w:val="18"/>
                <w:szCs w:val="18"/>
              </w:rPr>
              <w:t xml:space="preserve"> 116,810 </w:t>
            </w:r>
          </w:p>
        </w:tc>
        <w:tc>
          <w:tcPr>
            <w:tcW w:w="1058" w:type="dxa"/>
            <w:shd w:val="clear" w:color="auto" w:fill="FFFFFF" w:themeFill="background1"/>
          </w:tcPr>
          <w:p w14:paraId="103EADDF" w14:textId="77777777" w:rsidR="002A4B49" w:rsidRPr="006F4B5B" w:rsidRDefault="002A4B49" w:rsidP="00500872">
            <w:pPr>
              <w:jc w:val="right"/>
              <w:rPr>
                <w:sz w:val="18"/>
                <w:szCs w:val="18"/>
              </w:rPr>
            </w:pPr>
            <w:r w:rsidRPr="006F4B5B">
              <w:rPr>
                <w:sz w:val="18"/>
                <w:szCs w:val="18"/>
              </w:rPr>
              <w:t xml:space="preserve"> 111,082 </w:t>
            </w:r>
          </w:p>
        </w:tc>
        <w:tc>
          <w:tcPr>
            <w:tcW w:w="1057" w:type="dxa"/>
            <w:shd w:val="clear" w:color="auto" w:fill="FFFFFF" w:themeFill="background1"/>
          </w:tcPr>
          <w:p w14:paraId="4FA10294" w14:textId="77777777" w:rsidR="002A4B49" w:rsidRPr="006F4B5B" w:rsidRDefault="002A4B49" w:rsidP="00500872">
            <w:pPr>
              <w:jc w:val="right"/>
              <w:rPr>
                <w:sz w:val="18"/>
                <w:szCs w:val="18"/>
              </w:rPr>
            </w:pPr>
            <w:r w:rsidRPr="006F4B5B">
              <w:rPr>
                <w:sz w:val="18"/>
                <w:szCs w:val="18"/>
              </w:rPr>
              <w:t xml:space="preserve"> 119,146 </w:t>
            </w:r>
          </w:p>
        </w:tc>
        <w:tc>
          <w:tcPr>
            <w:tcW w:w="1058" w:type="dxa"/>
            <w:shd w:val="clear" w:color="auto" w:fill="FFFFFF" w:themeFill="background1"/>
          </w:tcPr>
          <w:p w14:paraId="6EECB4F0" w14:textId="77777777" w:rsidR="002A4B49" w:rsidRPr="006F4B5B" w:rsidRDefault="002A4B49" w:rsidP="00500872">
            <w:pPr>
              <w:jc w:val="right"/>
              <w:rPr>
                <w:sz w:val="18"/>
                <w:szCs w:val="18"/>
              </w:rPr>
            </w:pPr>
            <w:r w:rsidRPr="006F4B5B">
              <w:rPr>
                <w:sz w:val="18"/>
                <w:szCs w:val="18"/>
              </w:rPr>
              <w:t xml:space="preserve"> 128,518 </w:t>
            </w:r>
          </w:p>
        </w:tc>
        <w:tc>
          <w:tcPr>
            <w:tcW w:w="1058" w:type="dxa"/>
            <w:shd w:val="clear" w:color="auto" w:fill="FFFFFF" w:themeFill="background1"/>
          </w:tcPr>
          <w:p w14:paraId="09E65ED7" w14:textId="77777777" w:rsidR="002A4B49" w:rsidRPr="006F4B5B" w:rsidRDefault="002A4B49" w:rsidP="00500872">
            <w:pPr>
              <w:jc w:val="right"/>
              <w:rPr>
                <w:sz w:val="18"/>
                <w:szCs w:val="18"/>
              </w:rPr>
            </w:pPr>
            <w:r w:rsidRPr="006F4B5B">
              <w:rPr>
                <w:sz w:val="18"/>
                <w:szCs w:val="18"/>
              </w:rPr>
              <w:t xml:space="preserve"> 127,712 </w:t>
            </w:r>
          </w:p>
        </w:tc>
      </w:tr>
      <w:tr w:rsidR="002A4B49" w:rsidRPr="009F247D" w14:paraId="128B95F1" w14:textId="77777777" w:rsidTr="00853B07">
        <w:trPr>
          <w:cantSplit/>
          <w:trHeight w:val="15"/>
        </w:trPr>
        <w:tc>
          <w:tcPr>
            <w:tcW w:w="3964" w:type="dxa"/>
            <w:shd w:val="clear" w:color="auto" w:fill="D9D9D9" w:themeFill="background1" w:themeFillShade="D9"/>
          </w:tcPr>
          <w:p w14:paraId="2171093C" w14:textId="77777777" w:rsidR="002A4B49" w:rsidRPr="006F4B5B" w:rsidRDefault="002A4B49" w:rsidP="00853B07">
            <w:pPr>
              <w:rPr>
                <w:b/>
                <w:bCs/>
                <w:sz w:val="18"/>
                <w:szCs w:val="18"/>
              </w:rPr>
            </w:pPr>
            <w:r w:rsidRPr="006F4B5B">
              <w:rPr>
                <w:b/>
                <w:bCs/>
                <w:sz w:val="18"/>
                <w:szCs w:val="18"/>
              </w:rPr>
              <w:t>Total operating expenditure</w:t>
            </w:r>
          </w:p>
        </w:tc>
        <w:tc>
          <w:tcPr>
            <w:tcW w:w="1057" w:type="dxa"/>
            <w:shd w:val="clear" w:color="auto" w:fill="D9D9D9" w:themeFill="background1" w:themeFillShade="D9"/>
          </w:tcPr>
          <w:p w14:paraId="087BF7C6" w14:textId="77777777" w:rsidR="002A4B49" w:rsidRPr="006F4B5B" w:rsidRDefault="002A4B49" w:rsidP="00500872">
            <w:pPr>
              <w:jc w:val="right"/>
              <w:rPr>
                <w:b/>
                <w:bCs/>
                <w:sz w:val="18"/>
                <w:szCs w:val="18"/>
              </w:rPr>
            </w:pPr>
            <w:r w:rsidRPr="006F4B5B">
              <w:rPr>
                <w:b/>
                <w:bCs/>
                <w:sz w:val="18"/>
                <w:szCs w:val="18"/>
              </w:rPr>
              <w:t xml:space="preserve"> 271,182 </w:t>
            </w:r>
          </w:p>
        </w:tc>
        <w:tc>
          <w:tcPr>
            <w:tcW w:w="1058" w:type="dxa"/>
            <w:shd w:val="clear" w:color="auto" w:fill="D9D9D9" w:themeFill="background1" w:themeFillShade="D9"/>
          </w:tcPr>
          <w:p w14:paraId="16DD2A85" w14:textId="77777777" w:rsidR="002A4B49" w:rsidRPr="006F4B5B" w:rsidRDefault="002A4B49" w:rsidP="00500872">
            <w:pPr>
              <w:jc w:val="right"/>
              <w:rPr>
                <w:b/>
                <w:bCs/>
                <w:sz w:val="18"/>
                <w:szCs w:val="18"/>
              </w:rPr>
            </w:pPr>
            <w:r w:rsidRPr="006F4B5B">
              <w:rPr>
                <w:b/>
                <w:bCs/>
                <w:sz w:val="18"/>
                <w:szCs w:val="18"/>
              </w:rPr>
              <w:t xml:space="preserve"> 261,484 </w:t>
            </w:r>
          </w:p>
        </w:tc>
        <w:tc>
          <w:tcPr>
            <w:tcW w:w="1057" w:type="dxa"/>
            <w:shd w:val="clear" w:color="auto" w:fill="D9D9D9" w:themeFill="background1" w:themeFillShade="D9"/>
          </w:tcPr>
          <w:p w14:paraId="3DB4DDA6" w14:textId="77777777" w:rsidR="002A4B49" w:rsidRPr="006F4B5B" w:rsidRDefault="002A4B49" w:rsidP="00500872">
            <w:pPr>
              <w:jc w:val="right"/>
              <w:rPr>
                <w:b/>
                <w:bCs/>
                <w:sz w:val="18"/>
                <w:szCs w:val="18"/>
              </w:rPr>
            </w:pPr>
            <w:r w:rsidRPr="006F4B5B">
              <w:rPr>
                <w:b/>
                <w:bCs/>
                <w:sz w:val="18"/>
                <w:szCs w:val="18"/>
              </w:rPr>
              <w:t xml:space="preserve"> 263,174 </w:t>
            </w:r>
          </w:p>
        </w:tc>
        <w:tc>
          <w:tcPr>
            <w:tcW w:w="1058" w:type="dxa"/>
            <w:shd w:val="clear" w:color="auto" w:fill="D9D9D9" w:themeFill="background1" w:themeFillShade="D9"/>
          </w:tcPr>
          <w:p w14:paraId="5EA7FF05" w14:textId="77777777" w:rsidR="002A4B49" w:rsidRPr="006F4B5B" w:rsidRDefault="002A4B49" w:rsidP="00500872">
            <w:pPr>
              <w:jc w:val="right"/>
              <w:rPr>
                <w:b/>
                <w:bCs/>
                <w:sz w:val="18"/>
                <w:szCs w:val="18"/>
              </w:rPr>
            </w:pPr>
            <w:r w:rsidRPr="006F4B5B">
              <w:rPr>
                <w:b/>
                <w:bCs/>
                <w:sz w:val="18"/>
                <w:szCs w:val="18"/>
              </w:rPr>
              <w:t xml:space="preserve"> 308,624 </w:t>
            </w:r>
          </w:p>
        </w:tc>
        <w:tc>
          <w:tcPr>
            <w:tcW w:w="1058" w:type="dxa"/>
            <w:shd w:val="clear" w:color="auto" w:fill="D9D9D9" w:themeFill="background1" w:themeFillShade="D9"/>
          </w:tcPr>
          <w:p w14:paraId="6DEF5B39" w14:textId="77777777" w:rsidR="002A4B49" w:rsidRPr="006F4B5B" w:rsidRDefault="002A4B49" w:rsidP="00500872">
            <w:pPr>
              <w:jc w:val="right"/>
              <w:rPr>
                <w:b/>
                <w:bCs/>
                <w:sz w:val="18"/>
                <w:szCs w:val="18"/>
              </w:rPr>
            </w:pPr>
            <w:r w:rsidRPr="006F4B5B">
              <w:rPr>
                <w:b/>
                <w:bCs/>
                <w:sz w:val="18"/>
                <w:szCs w:val="18"/>
              </w:rPr>
              <w:t xml:space="preserve"> 293,638 </w:t>
            </w:r>
          </w:p>
        </w:tc>
      </w:tr>
      <w:tr w:rsidR="002A4B49" w:rsidRPr="009F247D" w14:paraId="254D67E8" w14:textId="77777777" w:rsidTr="00853B07">
        <w:trPr>
          <w:cantSplit/>
          <w:trHeight w:val="15"/>
        </w:trPr>
        <w:tc>
          <w:tcPr>
            <w:tcW w:w="3964" w:type="dxa"/>
            <w:shd w:val="clear" w:color="auto" w:fill="D9D9D9" w:themeFill="background1" w:themeFillShade="D9"/>
          </w:tcPr>
          <w:p w14:paraId="1003F853" w14:textId="77777777" w:rsidR="002A4B49" w:rsidRPr="006F4B5B" w:rsidRDefault="002A4B49" w:rsidP="00853B07">
            <w:pPr>
              <w:rPr>
                <w:b/>
                <w:bCs/>
                <w:sz w:val="18"/>
                <w:szCs w:val="18"/>
              </w:rPr>
            </w:pPr>
            <w:r w:rsidRPr="006F4B5B">
              <w:rPr>
                <w:b/>
                <w:bCs/>
                <w:sz w:val="18"/>
                <w:szCs w:val="18"/>
              </w:rPr>
              <w:t>Operating surplus before other gains/(losses)</w:t>
            </w:r>
          </w:p>
        </w:tc>
        <w:tc>
          <w:tcPr>
            <w:tcW w:w="1057" w:type="dxa"/>
            <w:shd w:val="clear" w:color="auto" w:fill="D9D9D9" w:themeFill="background1" w:themeFillShade="D9"/>
          </w:tcPr>
          <w:p w14:paraId="035A3D5B" w14:textId="77777777" w:rsidR="002A4B49" w:rsidRPr="006F4B5B" w:rsidRDefault="002A4B49" w:rsidP="00500872">
            <w:pPr>
              <w:jc w:val="right"/>
              <w:rPr>
                <w:b/>
                <w:bCs/>
                <w:sz w:val="18"/>
                <w:szCs w:val="18"/>
              </w:rPr>
            </w:pPr>
            <w:r w:rsidRPr="006F4B5B">
              <w:rPr>
                <w:b/>
                <w:bCs/>
                <w:sz w:val="18"/>
                <w:szCs w:val="18"/>
              </w:rPr>
              <w:t xml:space="preserve"> 52,436 </w:t>
            </w:r>
          </w:p>
        </w:tc>
        <w:tc>
          <w:tcPr>
            <w:tcW w:w="1058" w:type="dxa"/>
            <w:shd w:val="clear" w:color="auto" w:fill="D9D9D9" w:themeFill="background1" w:themeFillShade="D9"/>
          </w:tcPr>
          <w:p w14:paraId="37F07E30" w14:textId="77777777" w:rsidR="002A4B49" w:rsidRPr="006F4B5B" w:rsidRDefault="002A4B49" w:rsidP="00500872">
            <w:pPr>
              <w:jc w:val="right"/>
              <w:rPr>
                <w:b/>
                <w:bCs/>
                <w:sz w:val="18"/>
                <w:szCs w:val="18"/>
              </w:rPr>
            </w:pPr>
            <w:r w:rsidRPr="006F4B5B">
              <w:rPr>
                <w:b/>
                <w:bCs/>
                <w:sz w:val="18"/>
                <w:szCs w:val="18"/>
              </w:rPr>
              <w:t xml:space="preserve"> 52,554 </w:t>
            </w:r>
          </w:p>
        </w:tc>
        <w:tc>
          <w:tcPr>
            <w:tcW w:w="1057" w:type="dxa"/>
            <w:shd w:val="clear" w:color="auto" w:fill="D9D9D9" w:themeFill="background1" w:themeFillShade="D9"/>
          </w:tcPr>
          <w:p w14:paraId="2025BEC6" w14:textId="77777777" w:rsidR="002A4B49" w:rsidRPr="006F4B5B" w:rsidRDefault="002A4B49" w:rsidP="00500872">
            <w:pPr>
              <w:jc w:val="right"/>
              <w:rPr>
                <w:b/>
                <w:bCs/>
                <w:sz w:val="18"/>
                <w:szCs w:val="18"/>
              </w:rPr>
            </w:pPr>
            <w:r w:rsidRPr="006F4B5B">
              <w:rPr>
                <w:b/>
                <w:bCs/>
                <w:sz w:val="18"/>
                <w:szCs w:val="18"/>
              </w:rPr>
              <w:t xml:space="preserve"> 109,652 </w:t>
            </w:r>
          </w:p>
        </w:tc>
        <w:tc>
          <w:tcPr>
            <w:tcW w:w="1058" w:type="dxa"/>
            <w:shd w:val="clear" w:color="auto" w:fill="D9D9D9" w:themeFill="background1" w:themeFillShade="D9"/>
          </w:tcPr>
          <w:p w14:paraId="63146268" w14:textId="77777777" w:rsidR="002A4B49" w:rsidRPr="006F4B5B" w:rsidRDefault="002A4B49" w:rsidP="00500872">
            <w:pPr>
              <w:jc w:val="right"/>
              <w:rPr>
                <w:b/>
                <w:bCs/>
                <w:sz w:val="18"/>
                <w:szCs w:val="18"/>
              </w:rPr>
            </w:pPr>
            <w:r w:rsidRPr="006F4B5B">
              <w:rPr>
                <w:b/>
                <w:bCs/>
                <w:sz w:val="18"/>
                <w:szCs w:val="18"/>
              </w:rPr>
              <w:t xml:space="preserve"> 78,042 </w:t>
            </w:r>
          </w:p>
        </w:tc>
        <w:tc>
          <w:tcPr>
            <w:tcW w:w="1058" w:type="dxa"/>
            <w:shd w:val="clear" w:color="auto" w:fill="D9D9D9" w:themeFill="background1" w:themeFillShade="D9"/>
          </w:tcPr>
          <w:p w14:paraId="20101DA1" w14:textId="77777777" w:rsidR="002A4B49" w:rsidRPr="006F4B5B" w:rsidRDefault="002A4B49" w:rsidP="00500872">
            <w:pPr>
              <w:jc w:val="right"/>
              <w:rPr>
                <w:b/>
                <w:bCs/>
                <w:sz w:val="18"/>
                <w:szCs w:val="18"/>
              </w:rPr>
            </w:pPr>
            <w:r w:rsidRPr="006F4B5B">
              <w:rPr>
                <w:b/>
                <w:bCs/>
                <w:sz w:val="18"/>
                <w:szCs w:val="18"/>
              </w:rPr>
              <w:t xml:space="preserve"> 131,424 </w:t>
            </w:r>
          </w:p>
        </w:tc>
      </w:tr>
      <w:tr w:rsidR="002A4B49" w:rsidRPr="009F247D" w14:paraId="2269A571" w14:textId="77777777" w:rsidTr="00853B07">
        <w:trPr>
          <w:cantSplit/>
          <w:trHeight w:val="15"/>
        </w:trPr>
        <w:tc>
          <w:tcPr>
            <w:tcW w:w="3964" w:type="dxa"/>
            <w:shd w:val="clear" w:color="auto" w:fill="FFFFFF" w:themeFill="background1"/>
          </w:tcPr>
          <w:p w14:paraId="2597EE86" w14:textId="77777777" w:rsidR="002A4B49" w:rsidRPr="006F4B5B" w:rsidRDefault="002A4B49" w:rsidP="00853B07">
            <w:pPr>
              <w:rPr>
                <w:sz w:val="18"/>
                <w:szCs w:val="18"/>
              </w:rPr>
            </w:pPr>
            <w:r w:rsidRPr="006F4B5B">
              <w:rPr>
                <w:sz w:val="18"/>
                <w:szCs w:val="18"/>
              </w:rPr>
              <w:t>Other gains/(losses)</w:t>
            </w:r>
          </w:p>
        </w:tc>
        <w:tc>
          <w:tcPr>
            <w:tcW w:w="1057" w:type="dxa"/>
            <w:shd w:val="clear" w:color="auto" w:fill="FFFFFF" w:themeFill="background1"/>
          </w:tcPr>
          <w:p w14:paraId="50A649D8" w14:textId="77777777" w:rsidR="002A4B49" w:rsidRPr="006F4B5B" w:rsidRDefault="002A4B49" w:rsidP="00500872">
            <w:pPr>
              <w:jc w:val="right"/>
              <w:rPr>
                <w:sz w:val="18"/>
                <w:szCs w:val="18"/>
              </w:rPr>
            </w:pPr>
            <w:r w:rsidRPr="006F4B5B">
              <w:rPr>
                <w:sz w:val="18"/>
                <w:szCs w:val="18"/>
              </w:rPr>
              <w:t xml:space="preserve"> 1,186 </w:t>
            </w:r>
          </w:p>
        </w:tc>
        <w:tc>
          <w:tcPr>
            <w:tcW w:w="1058" w:type="dxa"/>
            <w:shd w:val="clear" w:color="auto" w:fill="FFFFFF" w:themeFill="background1"/>
          </w:tcPr>
          <w:p w14:paraId="166BC208" w14:textId="77777777" w:rsidR="002A4B49" w:rsidRPr="006F4B5B" w:rsidRDefault="002A4B49" w:rsidP="00500872">
            <w:pPr>
              <w:jc w:val="right"/>
              <w:rPr>
                <w:sz w:val="18"/>
                <w:szCs w:val="18"/>
              </w:rPr>
            </w:pPr>
            <w:r w:rsidRPr="006F4B5B">
              <w:rPr>
                <w:sz w:val="18"/>
                <w:szCs w:val="18"/>
              </w:rPr>
              <w:t xml:space="preserve"> 1,801 </w:t>
            </w:r>
          </w:p>
        </w:tc>
        <w:tc>
          <w:tcPr>
            <w:tcW w:w="1057" w:type="dxa"/>
            <w:shd w:val="clear" w:color="auto" w:fill="FFFFFF" w:themeFill="background1"/>
          </w:tcPr>
          <w:p w14:paraId="3EFF6939" w14:textId="77777777" w:rsidR="002A4B49" w:rsidRPr="006F4B5B" w:rsidRDefault="002A4B49" w:rsidP="00500872">
            <w:pPr>
              <w:jc w:val="right"/>
              <w:rPr>
                <w:sz w:val="18"/>
                <w:szCs w:val="18"/>
              </w:rPr>
            </w:pPr>
            <w:r w:rsidRPr="006F4B5B">
              <w:rPr>
                <w:sz w:val="18"/>
                <w:szCs w:val="18"/>
              </w:rPr>
              <w:t xml:space="preserve"> (14,245)</w:t>
            </w:r>
          </w:p>
        </w:tc>
        <w:tc>
          <w:tcPr>
            <w:tcW w:w="1058" w:type="dxa"/>
            <w:shd w:val="clear" w:color="auto" w:fill="FFFFFF" w:themeFill="background1"/>
          </w:tcPr>
          <w:p w14:paraId="67749203" w14:textId="77777777" w:rsidR="002A4B49" w:rsidRPr="006F4B5B" w:rsidRDefault="002A4B49" w:rsidP="00500872">
            <w:pPr>
              <w:jc w:val="right"/>
              <w:rPr>
                <w:sz w:val="18"/>
                <w:szCs w:val="18"/>
              </w:rPr>
            </w:pPr>
            <w:r w:rsidRPr="006F4B5B">
              <w:rPr>
                <w:sz w:val="18"/>
                <w:szCs w:val="18"/>
              </w:rPr>
              <w:t xml:space="preserve"> 1,055 </w:t>
            </w:r>
          </w:p>
        </w:tc>
        <w:tc>
          <w:tcPr>
            <w:tcW w:w="1058" w:type="dxa"/>
            <w:shd w:val="clear" w:color="auto" w:fill="FFFFFF" w:themeFill="background1"/>
          </w:tcPr>
          <w:p w14:paraId="7E1262EA" w14:textId="77777777" w:rsidR="002A4B49" w:rsidRPr="006F4B5B" w:rsidRDefault="002A4B49" w:rsidP="00500872">
            <w:pPr>
              <w:jc w:val="right"/>
              <w:rPr>
                <w:sz w:val="18"/>
                <w:szCs w:val="18"/>
              </w:rPr>
            </w:pPr>
            <w:r w:rsidRPr="006F4B5B">
              <w:rPr>
                <w:sz w:val="18"/>
                <w:szCs w:val="18"/>
              </w:rPr>
              <w:t xml:space="preserve"> (14,249)</w:t>
            </w:r>
          </w:p>
        </w:tc>
      </w:tr>
      <w:tr w:rsidR="002A4B49" w:rsidRPr="009F247D" w14:paraId="6F2FB044" w14:textId="77777777" w:rsidTr="00853B07">
        <w:trPr>
          <w:cantSplit/>
          <w:trHeight w:val="15"/>
        </w:trPr>
        <w:tc>
          <w:tcPr>
            <w:tcW w:w="3964" w:type="dxa"/>
            <w:shd w:val="clear" w:color="auto" w:fill="D9D9D9" w:themeFill="background1" w:themeFillShade="D9"/>
          </w:tcPr>
          <w:p w14:paraId="49FCB266" w14:textId="77777777" w:rsidR="002A4B49" w:rsidRPr="006F4B5B" w:rsidRDefault="002A4B49" w:rsidP="00853B07">
            <w:pPr>
              <w:rPr>
                <w:b/>
                <w:bCs/>
                <w:sz w:val="18"/>
                <w:szCs w:val="18"/>
              </w:rPr>
            </w:pPr>
            <w:r w:rsidRPr="006F4B5B">
              <w:rPr>
                <w:b/>
                <w:bCs/>
                <w:sz w:val="18"/>
                <w:szCs w:val="18"/>
              </w:rPr>
              <w:t>Operating surplus before income tax</w:t>
            </w:r>
          </w:p>
        </w:tc>
        <w:tc>
          <w:tcPr>
            <w:tcW w:w="1057" w:type="dxa"/>
            <w:shd w:val="clear" w:color="auto" w:fill="D9D9D9" w:themeFill="background1" w:themeFillShade="D9"/>
          </w:tcPr>
          <w:p w14:paraId="7E54BE6E" w14:textId="77777777" w:rsidR="002A4B49" w:rsidRPr="006F4B5B" w:rsidRDefault="002A4B49" w:rsidP="00500872">
            <w:pPr>
              <w:jc w:val="right"/>
              <w:rPr>
                <w:b/>
                <w:bCs/>
                <w:sz w:val="18"/>
                <w:szCs w:val="18"/>
              </w:rPr>
            </w:pPr>
            <w:r w:rsidRPr="006F4B5B">
              <w:rPr>
                <w:b/>
                <w:bCs/>
                <w:sz w:val="18"/>
                <w:szCs w:val="18"/>
              </w:rPr>
              <w:t xml:space="preserve"> 53,622 </w:t>
            </w:r>
          </w:p>
        </w:tc>
        <w:tc>
          <w:tcPr>
            <w:tcW w:w="1058" w:type="dxa"/>
            <w:shd w:val="clear" w:color="auto" w:fill="D9D9D9" w:themeFill="background1" w:themeFillShade="D9"/>
          </w:tcPr>
          <w:p w14:paraId="141A77D3" w14:textId="77777777" w:rsidR="002A4B49" w:rsidRPr="006F4B5B" w:rsidRDefault="002A4B49" w:rsidP="00500872">
            <w:pPr>
              <w:jc w:val="right"/>
              <w:rPr>
                <w:b/>
                <w:bCs/>
                <w:sz w:val="18"/>
                <w:szCs w:val="18"/>
              </w:rPr>
            </w:pPr>
            <w:r w:rsidRPr="006F4B5B">
              <w:rPr>
                <w:b/>
                <w:bCs/>
                <w:sz w:val="18"/>
                <w:szCs w:val="18"/>
              </w:rPr>
              <w:t xml:space="preserve"> 54,355 </w:t>
            </w:r>
          </w:p>
        </w:tc>
        <w:tc>
          <w:tcPr>
            <w:tcW w:w="1057" w:type="dxa"/>
            <w:shd w:val="clear" w:color="auto" w:fill="D9D9D9" w:themeFill="background1" w:themeFillShade="D9"/>
          </w:tcPr>
          <w:p w14:paraId="5673A8DA" w14:textId="77777777" w:rsidR="002A4B49" w:rsidRPr="006F4B5B" w:rsidRDefault="002A4B49" w:rsidP="00500872">
            <w:pPr>
              <w:jc w:val="right"/>
              <w:rPr>
                <w:b/>
                <w:bCs/>
                <w:sz w:val="18"/>
                <w:szCs w:val="18"/>
              </w:rPr>
            </w:pPr>
            <w:r w:rsidRPr="006F4B5B">
              <w:rPr>
                <w:b/>
                <w:bCs/>
                <w:sz w:val="18"/>
                <w:szCs w:val="18"/>
              </w:rPr>
              <w:t xml:space="preserve"> 95,407 </w:t>
            </w:r>
          </w:p>
        </w:tc>
        <w:tc>
          <w:tcPr>
            <w:tcW w:w="1058" w:type="dxa"/>
            <w:shd w:val="clear" w:color="auto" w:fill="D9D9D9" w:themeFill="background1" w:themeFillShade="D9"/>
          </w:tcPr>
          <w:p w14:paraId="2E218CD0" w14:textId="77777777" w:rsidR="002A4B49" w:rsidRPr="006F4B5B" w:rsidRDefault="002A4B49" w:rsidP="00500872">
            <w:pPr>
              <w:jc w:val="right"/>
              <w:rPr>
                <w:b/>
                <w:bCs/>
                <w:sz w:val="18"/>
                <w:szCs w:val="18"/>
              </w:rPr>
            </w:pPr>
            <w:r w:rsidRPr="006F4B5B">
              <w:rPr>
                <w:b/>
                <w:bCs/>
                <w:sz w:val="18"/>
                <w:szCs w:val="18"/>
              </w:rPr>
              <w:t xml:space="preserve"> 79,097 </w:t>
            </w:r>
          </w:p>
        </w:tc>
        <w:tc>
          <w:tcPr>
            <w:tcW w:w="1058" w:type="dxa"/>
            <w:shd w:val="clear" w:color="auto" w:fill="D9D9D9" w:themeFill="background1" w:themeFillShade="D9"/>
          </w:tcPr>
          <w:p w14:paraId="5823C454" w14:textId="77777777" w:rsidR="002A4B49" w:rsidRPr="006F4B5B" w:rsidRDefault="002A4B49" w:rsidP="00500872">
            <w:pPr>
              <w:jc w:val="right"/>
              <w:rPr>
                <w:b/>
                <w:bCs/>
                <w:sz w:val="18"/>
                <w:szCs w:val="18"/>
              </w:rPr>
            </w:pPr>
            <w:r w:rsidRPr="006F4B5B">
              <w:rPr>
                <w:b/>
                <w:bCs/>
                <w:sz w:val="18"/>
                <w:szCs w:val="18"/>
              </w:rPr>
              <w:t xml:space="preserve"> 117,175 </w:t>
            </w:r>
          </w:p>
        </w:tc>
      </w:tr>
      <w:tr w:rsidR="002A4B49" w:rsidRPr="009F247D" w14:paraId="57A5DFD9" w14:textId="77777777" w:rsidTr="00853B07">
        <w:trPr>
          <w:cantSplit/>
          <w:trHeight w:val="15"/>
        </w:trPr>
        <w:tc>
          <w:tcPr>
            <w:tcW w:w="3964" w:type="dxa"/>
            <w:shd w:val="clear" w:color="auto" w:fill="FFFFFF" w:themeFill="background1"/>
          </w:tcPr>
          <w:p w14:paraId="138A142C" w14:textId="77777777" w:rsidR="002A4B49" w:rsidRPr="006F4B5B" w:rsidRDefault="002A4B49" w:rsidP="00853B07">
            <w:pPr>
              <w:rPr>
                <w:sz w:val="18"/>
                <w:szCs w:val="18"/>
              </w:rPr>
            </w:pPr>
            <w:r w:rsidRPr="006F4B5B">
              <w:rPr>
                <w:sz w:val="18"/>
                <w:szCs w:val="18"/>
              </w:rPr>
              <w:t>Income tax expense</w:t>
            </w:r>
          </w:p>
        </w:tc>
        <w:tc>
          <w:tcPr>
            <w:tcW w:w="1057" w:type="dxa"/>
            <w:shd w:val="clear" w:color="auto" w:fill="FFFFFF" w:themeFill="background1"/>
          </w:tcPr>
          <w:p w14:paraId="33348C04" w14:textId="77777777" w:rsidR="002A4B49" w:rsidRPr="006F4B5B" w:rsidRDefault="002A4B49" w:rsidP="00500872">
            <w:pPr>
              <w:jc w:val="right"/>
              <w:rPr>
                <w:sz w:val="18"/>
                <w:szCs w:val="18"/>
              </w:rPr>
            </w:pPr>
            <w:r w:rsidRPr="006F4B5B">
              <w:rPr>
                <w:sz w:val="18"/>
                <w:szCs w:val="18"/>
              </w:rPr>
              <w:t xml:space="preserve"> -   </w:t>
            </w:r>
          </w:p>
        </w:tc>
        <w:tc>
          <w:tcPr>
            <w:tcW w:w="1058" w:type="dxa"/>
            <w:shd w:val="clear" w:color="auto" w:fill="FFFFFF" w:themeFill="background1"/>
          </w:tcPr>
          <w:p w14:paraId="01EC397E" w14:textId="77777777" w:rsidR="002A4B49" w:rsidRPr="006F4B5B" w:rsidRDefault="002A4B49" w:rsidP="00500872">
            <w:pPr>
              <w:jc w:val="right"/>
              <w:rPr>
                <w:sz w:val="18"/>
                <w:szCs w:val="18"/>
              </w:rPr>
            </w:pPr>
            <w:r w:rsidRPr="006F4B5B">
              <w:rPr>
                <w:sz w:val="18"/>
                <w:szCs w:val="18"/>
              </w:rPr>
              <w:t xml:space="preserve"> -   </w:t>
            </w:r>
          </w:p>
        </w:tc>
        <w:tc>
          <w:tcPr>
            <w:tcW w:w="1057" w:type="dxa"/>
            <w:shd w:val="clear" w:color="auto" w:fill="FFFFFF" w:themeFill="background1"/>
          </w:tcPr>
          <w:p w14:paraId="5E66478D" w14:textId="77777777" w:rsidR="002A4B49" w:rsidRPr="006F4B5B" w:rsidRDefault="002A4B49" w:rsidP="00500872">
            <w:pPr>
              <w:jc w:val="right"/>
              <w:rPr>
                <w:sz w:val="18"/>
                <w:szCs w:val="18"/>
              </w:rPr>
            </w:pPr>
            <w:r w:rsidRPr="006F4B5B">
              <w:rPr>
                <w:sz w:val="18"/>
                <w:szCs w:val="18"/>
              </w:rPr>
              <w:t xml:space="preserve"> -   </w:t>
            </w:r>
          </w:p>
        </w:tc>
        <w:tc>
          <w:tcPr>
            <w:tcW w:w="1058" w:type="dxa"/>
            <w:shd w:val="clear" w:color="auto" w:fill="FFFFFF" w:themeFill="background1"/>
          </w:tcPr>
          <w:p w14:paraId="14D3CF95" w14:textId="77777777" w:rsidR="002A4B49" w:rsidRPr="006F4B5B" w:rsidRDefault="002A4B49" w:rsidP="00500872">
            <w:pPr>
              <w:jc w:val="right"/>
              <w:rPr>
                <w:sz w:val="18"/>
                <w:szCs w:val="18"/>
              </w:rPr>
            </w:pPr>
            <w:r w:rsidRPr="006F4B5B">
              <w:rPr>
                <w:sz w:val="18"/>
                <w:szCs w:val="18"/>
              </w:rPr>
              <w:t xml:space="preserve"> 11,982 </w:t>
            </w:r>
          </w:p>
        </w:tc>
        <w:tc>
          <w:tcPr>
            <w:tcW w:w="1058" w:type="dxa"/>
            <w:shd w:val="clear" w:color="auto" w:fill="FFFFFF" w:themeFill="background1"/>
          </w:tcPr>
          <w:p w14:paraId="1CCF4C11" w14:textId="77777777" w:rsidR="002A4B49" w:rsidRPr="006F4B5B" w:rsidRDefault="002A4B49" w:rsidP="00500872">
            <w:pPr>
              <w:jc w:val="right"/>
              <w:rPr>
                <w:sz w:val="18"/>
                <w:szCs w:val="18"/>
              </w:rPr>
            </w:pPr>
            <w:r w:rsidRPr="006F4B5B">
              <w:rPr>
                <w:sz w:val="18"/>
                <w:szCs w:val="18"/>
              </w:rPr>
              <w:t xml:space="preserve"> 16,433 </w:t>
            </w:r>
          </w:p>
        </w:tc>
      </w:tr>
      <w:tr w:rsidR="002A4B49" w:rsidRPr="009F247D" w14:paraId="37418ECD" w14:textId="77777777" w:rsidTr="00853B07">
        <w:trPr>
          <w:cantSplit/>
          <w:trHeight w:val="15"/>
        </w:trPr>
        <w:tc>
          <w:tcPr>
            <w:tcW w:w="3964" w:type="dxa"/>
            <w:shd w:val="clear" w:color="auto" w:fill="D9D9D9" w:themeFill="background1" w:themeFillShade="D9"/>
          </w:tcPr>
          <w:p w14:paraId="1189601A" w14:textId="77777777" w:rsidR="002A4B49" w:rsidRPr="006F4B5B" w:rsidRDefault="002A4B49" w:rsidP="00853B07">
            <w:pPr>
              <w:rPr>
                <w:b/>
                <w:bCs/>
                <w:sz w:val="18"/>
                <w:szCs w:val="18"/>
              </w:rPr>
            </w:pPr>
            <w:r w:rsidRPr="006F4B5B">
              <w:rPr>
                <w:b/>
                <w:bCs/>
                <w:sz w:val="18"/>
                <w:szCs w:val="18"/>
              </w:rPr>
              <w:t>Operating surplus for the year</w:t>
            </w:r>
          </w:p>
        </w:tc>
        <w:tc>
          <w:tcPr>
            <w:tcW w:w="1057" w:type="dxa"/>
            <w:shd w:val="clear" w:color="auto" w:fill="D9D9D9" w:themeFill="background1" w:themeFillShade="D9"/>
          </w:tcPr>
          <w:p w14:paraId="5E3877DF" w14:textId="77777777" w:rsidR="002A4B49" w:rsidRPr="006F4B5B" w:rsidRDefault="002A4B49" w:rsidP="00500872">
            <w:pPr>
              <w:jc w:val="right"/>
              <w:rPr>
                <w:b/>
                <w:bCs/>
                <w:sz w:val="18"/>
                <w:szCs w:val="18"/>
              </w:rPr>
            </w:pPr>
            <w:r w:rsidRPr="006F4B5B">
              <w:rPr>
                <w:b/>
                <w:bCs/>
                <w:sz w:val="18"/>
                <w:szCs w:val="18"/>
              </w:rPr>
              <w:t xml:space="preserve"> 53,622 </w:t>
            </w:r>
          </w:p>
        </w:tc>
        <w:tc>
          <w:tcPr>
            <w:tcW w:w="1058" w:type="dxa"/>
            <w:shd w:val="clear" w:color="auto" w:fill="D9D9D9" w:themeFill="background1" w:themeFillShade="D9"/>
          </w:tcPr>
          <w:p w14:paraId="375B8938" w14:textId="77777777" w:rsidR="002A4B49" w:rsidRPr="006F4B5B" w:rsidRDefault="002A4B49" w:rsidP="00500872">
            <w:pPr>
              <w:jc w:val="right"/>
              <w:rPr>
                <w:b/>
                <w:bCs/>
                <w:sz w:val="18"/>
                <w:szCs w:val="18"/>
              </w:rPr>
            </w:pPr>
            <w:r w:rsidRPr="006F4B5B">
              <w:rPr>
                <w:b/>
                <w:bCs/>
                <w:sz w:val="18"/>
                <w:szCs w:val="18"/>
              </w:rPr>
              <w:t xml:space="preserve"> 54,355 </w:t>
            </w:r>
          </w:p>
        </w:tc>
        <w:tc>
          <w:tcPr>
            <w:tcW w:w="1057" w:type="dxa"/>
            <w:shd w:val="clear" w:color="auto" w:fill="D9D9D9" w:themeFill="background1" w:themeFillShade="D9"/>
          </w:tcPr>
          <w:p w14:paraId="4DABEFB3" w14:textId="77777777" w:rsidR="002A4B49" w:rsidRPr="006F4B5B" w:rsidRDefault="002A4B49" w:rsidP="00500872">
            <w:pPr>
              <w:jc w:val="right"/>
              <w:rPr>
                <w:b/>
                <w:bCs/>
                <w:sz w:val="18"/>
                <w:szCs w:val="18"/>
              </w:rPr>
            </w:pPr>
            <w:r w:rsidRPr="006F4B5B">
              <w:rPr>
                <w:b/>
                <w:bCs/>
                <w:sz w:val="18"/>
                <w:szCs w:val="18"/>
              </w:rPr>
              <w:t xml:space="preserve"> 95,407 </w:t>
            </w:r>
          </w:p>
        </w:tc>
        <w:tc>
          <w:tcPr>
            <w:tcW w:w="1058" w:type="dxa"/>
            <w:shd w:val="clear" w:color="auto" w:fill="D9D9D9" w:themeFill="background1" w:themeFillShade="D9"/>
          </w:tcPr>
          <w:p w14:paraId="5817955F" w14:textId="77777777" w:rsidR="002A4B49" w:rsidRPr="006F4B5B" w:rsidRDefault="002A4B49" w:rsidP="00500872">
            <w:pPr>
              <w:jc w:val="right"/>
              <w:rPr>
                <w:b/>
                <w:bCs/>
                <w:sz w:val="18"/>
                <w:szCs w:val="18"/>
              </w:rPr>
            </w:pPr>
            <w:r w:rsidRPr="006F4B5B">
              <w:rPr>
                <w:b/>
                <w:bCs/>
                <w:sz w:val="18"/>
                <w:szCs w:val="18"/>
              </w:rPr>
              <w:t xml:space="preserve"> 67,115 </w:t>
            </w:r>
          </w:p>
        </w:tc>
        <w:tc>
          <w:tcPr>
            <w:tcW w:w="1058" w:type="dxa"/>
            <w:shd w:val="clear" w:color="auto" w:fill="D9D9D9" w:themeFill="background1" w:themeFillShade="D9"/>
          </w:tcPr>
          <w:p w14:paraId="1BCA3435" w14:textId="77777777" w:rsidR="002A4B49" w:rsidRPr="006F4B5B" w:rsidRDefault="002A4B49" w:rsidP="00500872">
            <w:pPr>
              <w:jc w:val="right"/>
              <w:rPr>
                <w:b/>
                <w:bCs/>
                <w:sz w:val="18"/>
                <w:szCs w:val="18"/>
              </w:rPr>
            </w:pPr>
            <w:r w:rsidRPr="006F4B5B">
              <w:rPr>
                <w:b/>
                <w:bCs/>
                <w:sz w:val="18"/>
                <w:szCs w:val="18"/>
              </w:rPr>
              <w:t xml:space="preserve"> 100,742 </w:t>
            </w:r>
          </w:p>
        </w:tc>
      </w:tr>
      <w:tr w:rsidR="002A4B49" w:rsidRPr="009F247D" w14:paraId="290777D8" w14:textId="77777777" w:rsidTr="00853B07">
        <w:trPr>
          <w:cantSplit/>
          <w:trHeight w:val="15"/>
        </w:trPr>
        <w:tc>
          <w:tcPr>
            <w:tcW w:w="9252" w:type="dxa"/>
            <w:gridSpan w:val="6"/>
            <w:shd w:val="clear" w:color="auto" w:fill="FFFFFF" w:themeFill="background1"/>
          </w:tcPr>
          <w:p w14:paraId="69101521" w14:textId="77777777" w:rsidR="002A4B49" w:rsidRPr="006F4B5B" w:rsidRDefault="002A4B49" w:rsidP="00853B07">
            <w:pPr>
              <w:rPr>
                <w:sz w:val="18"/>
                <w:szCs w:val="18"/>
              </w:rPr>
            </w:pPr>
            <w:r w:rsidRPr="006F4B5B">
              <w:rPr>
                <w:sz w:val="18"/>
                <w:szCs w:val="18"/>
              </w:rPr>
              <w:t>Operating surplus attributable to:</w:t>
            </w:r>
          </w:p>
        </w:tc>
      </w:tr>
      <w:tr w:rsidR="002A4B49" w:rsidRPr="009F247D" w14:paraId="56AEA646" w14:textId="77777777" w:rsidTr="00853B07">
        <w:trPr>
          <w:cantSplit/>
          <w:trHeight w:val="15"/>
        </w:trPr>
        <w:tc>
          <w:tcPr>
            <w:tcW w:w="3964" w:type="dxa"/>
            <w:shd w:val="clear" w:color="auto" w:fill="FFFFFF" w:themeFill="background1"/>
          </w:tcPr>
          <w:p w14:paraId="1E8D5FAE" w14:textId="77777777" w:rsidR="002A4B49" w:rsidRPr="006F4B5B" w:rsidRDefault="002A4B49" w:rsidP="00853B07">
            <w:pPr>
              <w:rPr>
                <w:sz w:val="18"/>
                <w:szCs w:val="18"/>
              </w:rPr>
            </w:pPr>
            <w:r w:rsidRPr="006F4B5B">
              <w:rPr>
                <w:sz w:val="18"/>
                <w:szCs w:val="18"/>
              </w:rPr>
              <w:t>- Council</w:t>
            </w:r>
          </w:p>
        </w:tc>
        <w:tc>
          <w:tcPr>
            <w:tcW w:w="1057" w:type="dxa"/>
            <w:shd w:val="clear" w:color="auto" w:fill="FFFFFF" w:themeFill="background1"/>
          </w:tcPr>
          <w:p w14:paraId="309C5141" w14:textId="77777777" w:rsidR="002A4B49" w:rsidRPr="006F4B5B" w:rsidRDefault="002A4B49" w:rsidP="00500872">
            <w:pPr>
              <w:jc w:val="right"/>
              <w:rPr>
                <w:sz w:val="18"/>
                <w:szCs w:val="18"/>
              </w:rPr>
            </w:pPr>
            <w:r w:rsidRPr="006F4B5B">
              <w:rPr>
                <w:sz w:val="18"/>
                <w:szCs w:val="18"/>
              </w:rPr>
              <w:t xml:space="preserve"> 53,622 </w:t>
            </w:r>
          </w:p>
        </w:tc>
        <w:tc>
          <w:tcPr>
            <w:tcW w:w="1058" w:type="dxa"/>
            <w:shd w:val="clear" w:color="auto" w:fill="FFFFFF" w:themeFill="background1"/>
          </w:tcPr>
          <w:p w14:paraId="77E6098B" w14:textId="77777777" w:rsidR="002A4B49" w:rsidRPr="006F4B5B" w:rsidRDefault="002A4B49" w:rsidP="00500872">
            <w:pPr>
              <w:jc w:val="right"/>
              <w:rPr>
                <w:sz w:val="18"/>
                <w:szCs w:val="18"/>
              </w:rPr>
            </w:pPr>
            <w:r w:rsidRPr="006F4B5B">
              <w:rPr>
                <w:sz w:val="18"/>
                <w:szCs w:val="18"/>
              </w:rPr>
              <w:t xml:space="preserve"> 54,355 </w:t>
            </w:r>
          </w:p>
        </w:tc>
        <w:tc>
          <w:tcPr>
            <w:tcW w:w="1057" w:type="dxa"/>
            <w:shd w:val="clear" w:color="auto" w:fill="FFFFFF" w:themeFill="background1"/>
          </w:tcPr>
          <w:p w14:paraId="4F091F05" w14:textId="77777777" w:rsidR="002A4B49" w:rsidRPr="006F4B5B" w:rsidRDefault="002A4B49" w:rsidP="00500872">
            <w:pPr>
              <w:jc w:val="right"/>
              <w:rPr>
                <w:sz w:val="18"/>
                <w:szCs w:val="18"/>
              </w:rPr>
            </w:pPr>
            <w:r w:rsidRPr="006F4B5B">
              <w:rPr>
                <w:sz w:val="18"/>
                <w:szCs w:val="18"/>
              </w:rPr>
              <w:t xml:space="preserve"> 95,407 </w:t>
            </w:r>
          </w:p>
        </w:tc>
        <w:tc>
          <w:tcPr>
            <w:tcW w:w="1058" w:type="dxa"/>
            <w:shd w:val="clear" w:color="auto" w:fill="FFFFFF" w:themeFill="background1"/>
          </w:tcPr>
          <w:p w14:paraId="2BF7D0AB" w14:textId="77777777" w:rsidR="002A4B49" w:rsidRPr="006F4B5B" w:rsidRDefault="002A4B49" w:rsidP="00500872">
            <w:pPr>
              <w:jc w:val="right"/>
              <w:rPr>
                <w:sz w:val="18"/>
                <w:szCs w:val="18"/>
              </w:rPr>
            </w:pPr>
            <w:r w:rsidRPr="006F4B5B">
              <w:rPr>
                <w:sz w:val="18"/>
                <w:szCs w:val="18"/>
              </w:rPr>
              <w:t xml:space="preserve"> 59,768 </w:t>
            </w:r>
          </w:p>
        </w:tc>
        <w:tc>
          <w:tcPr>
            <w:tcW w:w="1058" w:type="dxa"/>
            <w:shd w:val="clear" w:color="auto" w:fill="FFFFFF" w:themeFill="background1"/>
          </w:tcPr>
          <w:p w14:paraId="5D0CFF65" w14:textId="77777777" w:rsidR="002A4B49" w:rsidRPr="006F4B5B" w:rsidRDefault="002A4B49" w:rsidP="00500872">
            <w:pPr>
              <w:jc w:val="right"/>
              <w:rPr>
                <w:sz w:val="18"/>
                <w:szCs w:val="18"/>
              </w:rPr>
            </w:pPr>
            <w:r w:rsidRPr="006F4B5B">
              <w:rPr>
                <w:sz w:val="18"/>
                <w:szCs w:val="18"/>
              </w:rPr>
              <w:t xml:space="preserve"> 96,620 </w:t>
            </w:r>
          </w:p>
        </w:tc>
      </w:tr>
      <w:tr w:rsidR="002A4B49" w:rsidRPr="009F247D" w14:paraId="374A5067" w14:textId="77777777" w:rsidTr="00853B07">
        <w:trPr>
          <w:cantSplit/>
          <w:trHeight w:val="15"/>
        </w:trPr>
        <w:tc>
          <w:tcPr>
            <w:tcW w:w="3964" w:type="dxa"/>
            <w:shd w:val="clear" w:color="auto" w:fill="FFFFFF" w:themeFill="background1"/>
          </w:tcPr>
          <w:p w14:paraId="052DAA71" w14:textId="77777777" w:rsidR="002A4B49" w:rsidRPr="006F4B5B" w:rsidRDefault="002A4B49" w:rsidP="00853B07">
            <w:pPr>
              <w:rPr>
                <w:sz w:val="18"/>
                <w:szCs w:val="18"/>
              </w:rPr>
            </w:pPr>
            <w:r w:rsidRPr="006F4B5B">
              <w:rPr>
                <w:sz w:val="18"/>
                <w:szCs w:val="18"/>
              </w:rPr>
              <w:t>- Non-controlling interest</w:t>
            </w:r>
          </w:p>
        </w:tc>
        <w:tc>
          <w:tcPr>
            <w:tcW w:w="1057" w:type="dxa"/>
            <w:shd w:val="clear" w:color="auto" w:fill="FFFFFF" w:themeFill="background1"/>
          </w:tcPr>
          <w:p w14:paraId="43F070D1" w14:textId="77777777" w:rsidR="002A4B49" w:rsidRPr="006F4B5B" w:rsidRDefault="002A4B49" w:rsidP="00500872">
            <w:pPr>
              <w:jc w:val="right"/>
              <w:rPr>
                <w:sz w:val="18"/>
                <w:szCs w:val="18"/>
              </w:rPr>
            </w:pPr>
            <w:r w:rsidRPr="006F4B5B">
              <w:rPr>
                <w:sz w:val="18"/>
                <w:szCs w:val="18"/>
              </w:rPr>
              <w:t xml:space="preserve"> -   </w:t>
            </w:r>
          </w:p>
        </w:tc>
        <w:tc>
          <w:tcPr>
            <w:tcW w:w="1058" w:type="dxa"/>
            <w:shd w:val="clear" w:color="auto" w:fill="FFFFFF" w:themeFill="background1"/>
          </w:tcPr>
          <w:p w14:paraId="7A24CB81" w14:textId="77777777" w:rsidR="002A4B49" w:rsidRPr="006F4B5B" w:rsidRDefault="002A4B49" w:rsidP="00500872">
            <w:pPr>
              <w:jc w:val="right"/>
              <w:rPr>
                <w:sz w:val="18"/>
                <w:szCs w:val="18"/>
              </w:rPr>
            </w:pPr>
            <w:r w:rsidRPr="006F4B5B">
              <w:rPr>
                <w:sz w:val="18"/>
                <w:szCs w:val="18"/>
              </w:rPr>
              <w:t xml:space="preserve"> -   </w:t>
            </w:r>
          </w:p>
        </w:tc>
        <w:tc>
          <w:tcPr>
            <w:tcW w:w="1057" w:type="dxa"/>
            <w:shd w:val="clear" w:color="auto" w:fill="FFFFFF" w:themeFill="background1"/>
          </w:tcPr>
          <w:p w14:paraId="709FFBF0" w14:textId="77777777" w:rsidR="002A4B49" w:rsidRPr="006F4B5B" w:rsidRDefault="002A4B49" w:rsidP="00500872">
            <w:pPr>
              <w:jc w:val="right"/>
              <w:rPr>
                <w:sz w:val="18"/>
                <w:szCs w:val="18"/>
              </w:rPr>
            </w:pPr>
            <w:r w:rsidRPr="006F4B5B">
              <w:rPr>
                <w:sz w:val="18"/>
                <w:szCs w:val="18"/>
              </w:rPr>
              <w:t xml:space="preserve"> -   </w:t>
            </w:r>
          </w:p>
        </w:tc>
        <w:tc>
          <w:tcPr>
            <w:tcW w:w="1058" w:type="dxa"/>
            <w:shd w:val="clear" w:color="auto" w:fill="FFFFFF" w:themeFill="background1"/>
          </w:tcPr>
          <w:p w14:paraId="44910B91" w14:textId="77777777" w:rsidR="002A4B49" w:rsidRPr="006F4B5B" w:rsidRDefault="002A4B49" w:rsidP="00500872">
            <w:pPr>
              <w:jc w:val="right"/>
              <w:rPr>
                <w:sz w:val="18"/>
                <w:szCs w:val="18"/>
              </w:rPr>
            </w:pPr>
            <w:r w:rsidRPr="006F4B5B">
              <w:rPr>
                <w:sz w:val="18"/>
                <w:szCs w:val="18"/>
              </w:rPr>
              <w:t xml:space="preserve"> 7,347 </w:t>
            </w:r>
          </w:p>
        </w:tc>
        <w:tc>
          <w:tcPr>
            <w:tcW w:w="1058" w:type="dxa"/>
            <w:shd w:val="clear" w:color="auto" w:fill="FFFFFF" w:themeFill="background1"/>
          </w:tcPr>
          <w:p w14:paraId="0B758A61" w14:textId="77777777" w:rsidR="002A4B49" w:rsidRPr="006F4B5B" w:rsidRDefault="002A4B49" w:rsidP="00500872">
            <w:pPr>
              <w:jc w:val="right"/>
              <w:rPr>
                <w:sz w:val="18"/>
                <w:szCs w:val="18"/>
              </w:rPr>
            </w:pPr>
            <w:r w:rsidRPr="006F4B5B">
              <w:rPr>
                <w:sz w:val="18"/>
                <w:szCs w:val="18"/>
              </w:rPr>
              <w:t xml:space="preserve"> 4,122 </w:t>
            </w:r>
          </w:p>
        </w:tc>
      </w:tr>
      <w:tr w:rsidR="002A4B49" w:rsidRPr="009F247D" w14:paraId="00126742" w14:textId="77777777" w:rsidTr="00853B07">
        <w:trPr>
          <w:cantSplit/>
          <w:trHeight w:val="15"/>
        </w:trPr>
        <w:tc>
          <w:tcPr>
            <w:tcW w:w="3964" w:type="dxa"/>
            <w:shd w:val="clear" w:color="auto" w:fill="D9D9D9" w:themeFill="background1" w:themeFillShade="D9"/>
          </w:tcPr>
          <w:p w14:paraId="38FB5CDB" w14:textId="77777777" w:rsidR="002A4B49" w:rsidRPr="006F4B5B" w:rsidRDefault="002A4B49" w:rsidP="00853B07">
            <w:pPr>
              <w:rPr>
                <w:b/>
                <w:bCs/>
                <w:sz w:val="18"/>
                <w:szCs w:val="18"/>
              </w:rPr>
            </w:pPr>
          </w:p>
        </w:tc>
        <w:tc>
          <w:tcPr>
            <w:tcW w:w="1057" w:type="dxa"/>
            <w:shd w:val="clear" w:color="auto" w:fill="D9D9D9" w:themeFill="background1" w:themeFillShade="D9"/>
          </w:tcPr>
          <w:p w14:paraId="1E260471" w14:textId="77777777" w:rsidR="002A4B49" w:rsidRPr="006F4B5B" w:rsidRDefault="002A4B49" w:rsidP="00500872">
            <w:pPr>
              <w:jc w:val="right"/>
              <w:rPr>
                <w:b/>
                <w:bCs/>
                <w:sz w:val="18"/>
                <w:szCs w:val="18"/>
              </w:rPr>
            </w:pPr>
            <w:r w:rsidRPr="006F4B5B">
              <w:rPr>
                <w:b/>
                <w:bCs/>
                <w:sz w:val="18"/>
                <w:szCs w:val="18"/>
              </w:rPr>
              <w:t xml:space="preserve"> 53,622 </w:t>
            </w:r>
          </w:p>
        </w:tc>
        <w:tc>
          <w:tcPr>
            <w:tcW w:w="1058" w:type="dxa"/>
            <w:shd w:val="clear" w:color="auto" w:fill="D9D9D9" w:themeFill="background1" w:themeFillShade="D9"/>
          </w:tcPr>
          <w:p w14:paraId="33853672" w14:textId="77777777" w:rsidR="002A4B49" w:rsidRPr="006F4B5B" w:rsidRDefault="002A4B49" w:rsidP="00500872">
            <w:pPr>
              <w:jc w:val="right"/>
              <w:rPr>
                <w:b/>
                <w:bCs/>
                <w:sz w:val="18"/>
                <w:szCs w:val="18"/>
              </w:rPr>
            </w:pPr>
            <w:r w:rsidRPr="006F4B5B">
              <w:rPr>
                <w:b/>
                <w:bCs/>
                <w:sz w:val="18"/>
                <w:szCs w:val="18"/>
              </w:rPr>
              <w:t xml:space="preserve"> 54,355 </w:t>
            </w:r>
          </w:p>
        </w:tc>
        <w:tc>
          <w:tcPr>
            <w:tcW w:w="1057" w:type="dxa"/>
            <w:shd w:val="clear" w:color="auto" w:fill="D9D9D9" w:themeFill="background1" w:themeFillShade="D9"/>
          </w:tcPr>
          <w:p w14:paraId="188693A0" w14:textId="77777777" w:rsidR="002A4B49" w:rsidRPr="006F4B5B" w:rsidRDefault="002A4B49" w:rsidP="00500872">
            <w:pPr>
              <w:jc w:val="right"/>
              <w:rPr>
                <w:b/>
                <w:bCs/>
                <w:sz w:val="18"/>
                <w:szCs w:val="18"/>
              </w:rPr>
            </w:pPr>
            <w:r w:rsidRPr="006F4B5B">
              <w:rPr>
                <w:b/>
                <w:bCs/>
                <w:sz w:val="18"/>
                <w:szCs w:val="18"/>
              </w:rPr>
              <w:t xml:space="preserve"> 95,407 </w:t>
            </w:r>
          </w:p>
        </w:tc>
        <w:tc>
          <w:tcPr>
            <w:tcW w:w="1058" w:type="dxa"/>
            <w:shd w:val="clear" w:color="auto" w:fill="D9D9D9" w:themeFill="background1" w:themeFillShade="D9"/>
          </w:tcPr>
          <w:p w14:paraId="7DDA1D4A" w14:textId="77777777" w:rsidR="002A4B49" w:rsidRPr="006F4B5B" w:rsidRDefault="002A4B49" w:rsidP="00500872">
            <w:pPr>
              <w:jc w:val="right"/>
              <w:rPr>
                <w:b/>
                <w:bCs/>
                <w:sz w:val="18"/>
                <w:szCs w:val="18"/>
              </w:rPr>
            </w:pPr>
            <w:r w:rsidRPr="006F4B5B">
              <w:rPr>
                <w:b/>
                <w:bCs/>
                <w:sz w:val="18"/>
                <w:szCs w:val="18"/>
              </w:rPr>
              <w:t xml:space="preserve"> 67,115 </w:t>
            </w:r>
          </w:p>
        </w:tc>
        <w:tc>
          <w:tcPr>
            <w:tcW w:w="1058" w:type="dxa"/>
            <w:shd w:val="clear" w:color="auto" w:fill="D9D9D9" w:themeFill="background1" w:themeFillShade="D9"/>
          </w:tcPr>
          <w:p w14:paraId="33A29A9E" w14:textId="77777777" w:rsidR="002A4B49" w:rsidRPr="006F4B5B" w:rsidRDefault="002A4B49" w:rsidP="00500872">
            <w:pPr>
              <w:jc w:val="right"/>
              <w:rPr>
                <w:b/>
                <w:bCs/>
                <w:sz w:val="18"/>
                <w:szCs w:val="18"/>
              </w:rPr>
            </w:pPr>
            <w:r w:rsidRPr="006F4B5B">
              <w:rPr>
                <w:b/>
                <w:bCs/>
                <w:sz w:val="18"/>
                <w:szCs w:val="18"/>
              </w:rPr>
              <w:t xml:space="preserve"> 100,742 </w:t>
            </w:r>
          </w:p>
        </w:tc>
      </w:tr>
    </w:tbl>
    <w:p w14:paraId="5D1009DE" w14:textId="16374E0B" w:rsidR="002A4B49" w:rsidRPr="009D2B3D" w:rsidRDefault="002A4B49" w:rsidP="002A4B49">
      <w:pPr>
        <w:rPr>
          <w:color w:val="000000" w:themeColor="text1"/>
          <w:sz w:val="18"/>
          <w:szCs w:val="18"/>
          <w:lang w:val="en-GB"/>
        </w:rPr>
      </w:pPr>
      <w:r w:rsidRPr="009D2B3D">
        <w:rPr>
          <w:color w:val="000000" w:themeColor="text1"/>
          <w:sz w:val="18"/>
          <w:szCs w:val="18"/>
          <w:lang w:val="en-GB"/>
        </w:rPr>
        <w:t>(</w:t>
      </w:r>
      <w:proofErr w:type="spellStart"/>
      <w:r w:rsidRPr="009D2B3D">
        <w:rPr>
          <w:color w:val="000000" w:themeColor="text1"/>
          <w:sz w:val="18"/>
          <w:szCs w:val="18"/>
          <w:lang w:val="en-GB"/>
        </w:rPr>
        <w:t>i</w:t>
      </w:r>
      <w:proofErr w:type="spellEnd"/>
      <w:r w:rsidRPr="009D2B3D">
        <w:rPr>
          <w:color w:val="000000" w:themeColor="text1"/>
          <w:sz w:val="18"/>
          <w:szCs w:val="18"/>
          <w:lang w:val="en-GB"/>
        </w:rPr>
        <w:t>) Refer to the notes to the summary financial statements on page</w:t>
      </w:r>
      <w:r w:rsidR="009D2B3D" w:rsidRPr="009D2B3D">
        <w:rPr>
          <w:color w:val="000000" w:themeColor="text1"/>
          <w:sz w:val="18"/>
          <w:szCs w:val="18"/>
          <w:lang w:val="en-GB"/>
        </w:rPr>
        <w:t xml:space="preserve"> </w:t>
      </w:r>
      <w:r w:rsidR="009D2B3D" w:rsidRPr="009D2B3D">
        <w:rPr>
          <w:color w:val="000000" w:themeColor="text1"/>
          <w:sz w:val="18"/>
          <w:szCs w:val="18"/>
          <w:lang w:val="en-GB"/>
        </w:rPr>
        <w:fldChar w:fldCharType="begin"/>
      </w:r>
      <w:r w:rsidR="009D2B3D" w:rsidRPr="009D2B3D">
        <w:rPr>
          <w:color w:val="000000" w:themeColor="text1"/>
          <w:sz w:val="18"/>
          <w:szCs w:val="18"/>
          <w:lang w:val="en-GB"/>
        </w:rPr>
        <w:instrText xml:space="preserve"> PAGEREF _Ref211422053 \h </w:instrText>
      </w:r>
      <w:r w:rsidR="009D2B3D" w:rsidRPr="009D2B3D">
        <w:rPr>
          <w:color w:val="000000" w:themeColor="text1"/>
          <w:sz w:val="18"/>
          <w:szCs w:val="18"/>
          <w:lang w:val="en-GB"/>
        </w:rPr>
      </w:r>
      <w:r w:rsidR="009D2B3D" w:rsidRPr="009D2B3D">
        <w:rPr>
          <w:color w:val="000000" w:themeColor="text1"/>
          <w:sz w:val="18"/>
          <w:szCs w:val="18"/>
          <w:lang w:val="en-GB"/>
        </w:rPr>
        <w:fldChar w:fldCharType="separate"/>
      </w:r>
      <w:r w:rsidR="009D2B3D" w:rsidRPr="009D2B3D">
        <w:rPr>
          <w:noProof/>
          <w:color w:val="000000" w:themeColor="text1"/>
          <w:sz w:val="18"/>
          <w:szCs w:val="18"/>
          <w:lang w:val="en-GB"/>
        </w:rPr>
        <w:t>5</w:t>
      </w:r>
      <w:r w:rsidR="009D2B3D" w:rsidRPr="009D2B3D">
        <w:rPr>
          <w:noProof/>
          <w:color w:val="000000" w:themeColor="text1"/>
          <w:sz w:val="18"/>
          <w:szCs w:val="18"/>
          <w:lang w:val="en-GB"/>
        </w:rPr>
        <w:t>8</w:t>
      </w:r>
      <w:r w:rsidR="009D2B3D" w:rsidRPr="009D2B3D">
        <w:rPr>
          <w:color w:val="000000" w:themeColor="text1"/>
          <w:sz w:val="18"/>
          <w:szCs w:val="18"/>
          <w:lang w:val="en-GB"/>
        </w:rPr>
        <w:fldChar w:fldCharType="end"/>
      </w:r>
      <w:r w:rsidRPr="009D2B3D">
        <w:rPr>
          <w:color w:val="000000" w:themeColor="text1"/>
          <w:sz w:val="18"/>
          <w:szCs w:val="18"/>
          <w:lang w:val="en-GB"/>
        </w:rPr>
        <w:t>.</w:t>
      </w:r>
    </w:p>
    <w:p w14:paraId="4B578103" w14:textId="77777777" w:rsidR="002A4B49" w:rsidRDefault="002A4B49" w:rsidP="002A4B49">
      <w:pPr>
        <w:rPr>
          <w:sz w:val="24"/>
          <w:szCs w:val="24"/>
          <w:lang w:val="en-GB"/>
        </w:rPr>
      </w:pPr>
      <w:r>
        <w:rPr>
          <w:sz w:val="24"/>
          <w:szCs w:val="24"/>
          <w:lang w:val="en-GB"/>
        </w:rPr>
        <w:br w:type="page"/>
      </w:r>
    </w:p>
    <w:p w14:paraId="34355D51" w14:textId="77777777" w:rsidR="008F521F" w:rsidRDefault="008F521F" w:rsidP="008F521F">
      <w:pPr>
        <w:pStyle w:val="Heading2"/>
        <w:rPr>
          <w:rFonts w:asciiTheme="minorHAnsi" w:eastAsiaTheme="minorHAnsi" w:hAnsiTheme="minorHAnsi" w:cstheme="minorBidi"/>
          <w:b/>
          <w:bCs/>
          <w:color w:val="auto"/>
          <w:sz w:val="18"/>
          <w:szCs w:val="18"/>
          <w:lang w:val="en-US"/>
        </w:rPr>
      </w:pPr>
      <w:bookmarkStart w:id="57" w:name="_Toc211422669"/>
      <w:r w:rsidRPr="002A4B49">
        <w:rPr>
          <w:lang w:val="en-GB"/>
        </w:rPr>
        <w:t>Summary Statement of Other Comprehensive Revenue and Expense</w:t>
      </w:r>
      <w:bookmarkEnd w:id="57"/>
    </w:p>
    <w:tbl>
      <w:tblPr>
        <w:tblStyle w:val="TableGrid"/>
        <w:tblW w:w="9252" w:type="dxa"/>
        <w:tblLayout w:type="fixed"/>
        <w:tblCellMar>
          <w:top w:w="115" w:type="dxa"/>
          <w:bottom w:w="115" w:type="dxa"/>
        </w:tblCellMar>
        <w:tblLook w:val="04A0" w:firstRow="1" w:lastRow="0" w:firstColumn="1" w:lastColumn="0" w:noHBand="0" w:noVBand="1"/>
      </w:tblPr>
      <w:tblGrid>
        <w:gridCol w:w="3964"/>
        <w:gridCol w:w="1057"/>
        <w:gridCol w:w="1058"/>
        <w:gridCol w:w="1057"/>
        <w:gridCol w:w="1058"/>
        <w:gridCol w:w="1058"/>
      </w:tblGrid>
      <w:tr w:rsidR="008F521F" w:rsidRPr="009F247D" w14:paraId="604D88A3" w14:textId="77777777" w:rsidTr="00853B07">
        <w:trPr>
          <w:cantSplit/>
        </w:trPr>
        <w:tc>
          <w:tcPr>
            <w:tcW w:w="3964" w:type="dxa"/>
            <w:shd w:val="clear" w:color="auto" w:fill="BFBFBF" w:themeFill="background1" w:themeFillShade="BF"/>
          </w:tcPr>
          <w:p w14:paraId="7E49BF5E" w14:textId="77777777" w:rsidR="008F521F" w:rsidRPr="008F521F" w:rsidRDefault="008F521F" w:rsidP="00853B07">
            <w:pPr>
              <w:rPr>
                <w:b/>
                <w:bCs/>
                <w:sz w:val="18"/>
                <w:szCs w:val="18"/>
                <w:lang w:val="en-US"/>
              </w:rPr>
            </w:pPr>
            <w:r w:rsidRPr="008F521F">
              <w:rPr>
                <w:b/>
                <w:bCs/>
                <w:sz w:val="18"/>
                <w:szCs w:val="18"/>
                <w:lang w:val="en-US"/>
              </w:rPr>
              <w:t>For the financial year ended 30 June 2025</w:t>
            </w:r>
          </w:p>
        </w:tc>
        <w:tc>
          <w:tcPr>
            <w:tcW w:w="1057" w:type="dxa"/>
            <w:shd w:val="clear" w:color="auto" w:fill="BFBFBF" w:themeFill="background1" w:themeFillShade="BF"/>
          </w:tcPr>
          <w:p w14:paraId="6E3F7C45" w14:textId="77777777" w:rsidR="008F521F" w:rsidRPr="008F521F" w:rsidRDefault="008F521F" w:rsidP="00853B07">
            <w:pPr>
              <w:rPr>
                <w:b/>
                <w:bCs/>
                <w:sz w:val="18"/>
                <w:szCs w:val="18"/>
                <w:lang w:val="en-US"/>
              </w:rPr>
            </w:pPr>
            <w:r w:rsidRPr="008F521F">
              <w:rPr>
                <w:b/>
                <w:bCs/>
                <w:sz w:val="18"/>
                <w:szCs w:val="18"/>
                <w:lang w:val="en-US"/>
              </w:rPr>
              <w:t>Council</w:t>
            </w:r>
          </w:p>
          <w:p w14:paraId="148F5E7A" w14:textId="77777777" w:rsidR="008F521F" w:rsidRPr="008F521F" w:rsidRDefault="008F521F" w:rsidP="00853B07">
            <w:pPr>
              <w:rPr>
                <w:b/>
                <w:bCs/>
                <w:sz w:val="18"/>
                <w:szCs w:val="18"/>
                <w:lang w:val="en-US"/>
              </w:rPr>
            </w:pPr>
            <w:r w:rsidRPr="008F521F">
              <w:rPr>
                <w:b/>
                <w:bCs/>
                <w:sz w:val="18"/>
                <w:szCs w:val="18"/>
                <w:lang w:val="en-US"/>
              </w:rPr>
              <w:t>2025</w:t>
            </w:r>
          </w:p>
          <w:p w14:paraId="5B282817" w14:textId="77777777" w:rsidR="008F521F" w:rsidRPr="008F521F" w:rsidRDefault="008F521F" w:rsidP="00853B07">
            <w:pPr>
              <w:rPr>
                <w:b/>
                <w:bCs/>
                <w:sz w:val="18"/>
                <w:szCs w:val="18"/>
                <w:lang w:val="en-US"/>
              </w:rPr>
            </w:pPr>
            <w:r w:rsidRPr="008F521F">
              <w:rPr>
                <w:b/>
                <w:bCs/>
                <w:sz w:val="18"/>
                <w:szCs w:val="18"/>
                <w:lang w:val="en-US"/>
              </w:rPr>
              <w:t>$’000</w:t>
            </w:r>
          </w:p>
        </w:tc>
        <w:tc>
          <w:tcPr>
            <w:tcW w:w="1058" w:type="dxa"/>
            <w:shd w:val="clear" w:color="auto" w:fill="BFBFBF" w:themeFill="background1" w:themeFillShade="BF"/>
          </w:tcPr>
          <w:p w14:paraId="2E96D5EB" w14:textId="77777777" w:rsidR="008F521F" w:rsidRPr="008F521F" w:rsidRDefault="008F521F" w:rsidP="00853B07">
            <w:pPr>
              <w:rPr>
                <w:b/>
                <w:bCs/>
                <w:sz w:val="18"/>
                <w:szCs w:val="18"/>
                <w:lang w:val="en-US"/>
              </w:rPr>
            </w:pPr>
            <w:r w:rsidRPr="008F521F">
              <w:rPr>
                <w:b/>
                <w:bCs/>
                <w:sz w:val="18"/>
                <w:szCs w:val="18"/>
                <w:lang w:val="en-US"/>
              </w:rPr>
              <w:t>Council</w:t>
            </w:r>
          </w:p>
          <w:p w14:paraId="6B9970DC" w14:textId="77777777" w:rsidR="008F521F" w:rsidRPr="008F521F" w:rsidRDefault="008F521F" w:rsidP="00853B07">
            <w:pPr>
              <w:rPr>
                <w:b/>
                <w:bCs/>
                <w:sz w:val="18"/>
                <w:szCs w:val="18"/>
                <w:lang w:val="en-US"/>
              </w:rPr>
            </w:pPr>
            <w:r w:rsidRPr="008F521F">
              <w:rPr>
                <w:b/>
                <w:bCs/>
                <w:sz w:val="18"/>
                <w:szCs w:val="18"/>
                <w:lang w:val="en-US"/>
              </w:rPr>
              <w:t>Budget</w:t>
            </w:r>
          </w:p>
          <w:p w14:paraId="788B959D" w14:textId="77777777" w:rsidR="008F521F" w:rsidRPr="008F521F" w:rsidRDefault="008F521F" w:rsidP="00853B07">
            <w:pPr>
              <w:rPr>
                <w:b/>
                <w:bCs/>
                <w:sz w:val="18"/>
                <w:szCs w:val="18"/>
                <w:lang w:val="en-US"/>
              </w:rPr>
            </w:pPr>
            <w:r w:rsidRPr="008F521F">
              <w:rPr>
                <w:b/>
                <w:bCs/>
                <w:sz w:val="18"/>
                <w:szCs w:val="18"/>
                <w:lang w:val="en-US"/>
              </w:rPr>
              <w:t>$’000</w:t>
            </w:r>
          </w:p>
        </w:tc>
        <w:tc>
          <w:tcPr>
            <w:tcW w:w="1057" w:type="dxa"/>
            <w:shd w:val="clear" w:color="auto" w:fill="BFBFBF" w:themeFill="background1" w:themeFillShade="BF"/>
          </w:tcPr>
          <w:p w14:paraId="1DF7A53E" w14:textId="77777777" w:rsidR="008F521F" w:rsidRPr="008F521F" w:rsidRDefault="008F521F" w:rsidP="00853B07">
            <w:pPr>
              <w:rPr>
                <w:b/>
                <w:bCs/>
                <w:sz w:val="18"/>
                <w:szCs w:val="18"/>
                <w:lang w:val="en-US"/>
              </w:rPr>
            </w:pPr>
            <w:r w:rsidRPr="008F521F">
              <w:rPr>
                <w:b/>
                <w:bCs/>
                <w:sz w:val="18"/>
                <w:szCs w:val="18"/>
                <w:lang w:val="en-US"/>
              </w:rPr>
              <w:t>Council</w:t>
            </w:r>
          </w:p>
          <w:p w14:paraId="408B0315" w14:textId="77777777" w:rsidR="008F521F" w:rsidRPr="008F521F" w:rsidRDefault="008F521F" w:rsidP="00853B07">
            <w:pPr>
              <w:rPr>
                <w:b/>
                <w:bCs/>
                <w:sz w:val="18"/>
                <w:szCs w:val="18"/>
                <w:lang w:val="en-US"/>
              </w:rPr>
            </w:pPr>
            <w:r w:rsidRPr="008F521F">
              <w:rPr>
                <w:b/>
                <w:bCs/>
                <w:sz w:val="18"/>
                <w:szCs w:val="18"/>
                <w:lang w:val="en-US"/>
              </w:rPr>
              <w:t>2024 Restated (</w:t>
            </w:r>
            <w:proofErr w:type="spellStart"/>
            <w:r w:rsidRPr="008F521F">
              <w:rPr>
                <w:b/>
                <w:bCs/>
                <w:sz w:val="18"/>
                <w:szCs w:val="18"/>
                <w:lang w:val="en-US"/>
              </w:rPr>
              <w:t>i</w:t>
            </w:r>
            <w:proofErr w:type="spellEnd"/>
            <w:r w:rsidRPr="008F521F">
              <w:rPr>
                <w:b/>
                <w:bCs/>
                <w:sz w:val="18"/>
                <w:szCs w:val="18"/>
                <w:lang w:val="en-US"/>
              </w:rPr>
              <w:t>) $’000</w:t>
            </w:r>
          </w:p>
        </w:tc>
        <w:tc>
          <w:tcPr>
            <w:tcW w:w="1058" w:type="dxa"/>
            <w:shd w:val="clear" w:color="auto" w:fill="BFBFBF" w:themeFill="background1" w:themeFillShade="BF"/>
          </w:tcPr>
          <w:p w14:paraId="30020204" w14:textId="77777777" w:rsidR="008F521F" w:rsidRPr="008F521F" w:rsidRDefault="008F521F" w:rsidP="00853B07">
            <w:pPr>
              <w:rPr>
                <w:b/>
                <w:bCs/>
                <w:sz w:val="18"/>
                <w:szCs w:val="18"/>
                <w:lang w:val="en-US"/>
              </w:rPr>
            </w:pPr>
            <w:r w:rsidRPr="008F521F">
              <w:rPr>
                <w:b/>
                <w:bCs/>
                <w:sz w:val="18"/>
                <w:szCs w:val="18"/>
                <w:lang w:val="en-US"/>
              </w:rPr>
              <w:t>Group</w:t>
            </w:r>
          </w:p>
          <w:p w14:paraId="58140E92" w14:textId="77777777" w:rsidR="008F521F" w:rsidRPr="008F521F" w:rsidRDefault="008F521F" w:rsidP="00853B07">
            <w:pPr>
              <w:rPr>
                <w:b/>
                <w:bCs/>
                <w:sz w:val="18"/>
                <w:szCs w:val="18"/>
                <w:lang w:val="en-US"/>
              </w:rPr>
            </w:pPr>
            <w:r w:rsidRPr="008F521F">
              <w:rPr>
                <w:b/>
                <w:bCs/>
                <w:sz w:val="18"/>
                <w:szCs w:val="18"/>
                <w:lang w:val="en-US"/>
              </w:rPr>
              <w:t>2025</w:t>
            </w:r>
          </w:p>
          <w:p w14:paraId="147FDCF2" w14:textId="77777777" w:rsidR="008F521F" w:rsidRPr="008F521F" w:rsidRDefault="008F521F" w:rsidP="00853B07">
            <w:pPr>
              <w:rPr>
                <w:b/>
                <w:bCs/>
                <w:sz w:val="18"/>
                <w:szCs w:val="18"/>
                <w:lang w:val="en-US"/>
              </w:rPr>
            </w:pPr>
            <w:r w:rsidRPr="008F521F">
              <w:rPr>
                <w:b/>
                <w:bCs/>
                <w:sz w:val="18"/>
                <w:szCs w:val="18"/>
                <w:lang w:val="en-US"/>
              </w:rPr>
              <w:t>$’000</w:t>
            </w:r>
          </w:p>
        </w:tc>
        <w:tc>
          <w:tcPr>
            <w:tcW w:w="1058" w:type="dxa"/>
            <w:shd w:val="clear" w:color="auto" w:fill="BFBFBF" w:themeFill="background1" w:themeFillShade="BF"/>
          </w:tcPr>
          <w:p w14:paraId="084BE498" w14:textId="77777777" w:rsidR="008F521F" w:rsidRPr="008F521F" w:rsidRDefault="008F521F" w:rsidP="00853B07">
            <w:pPr>
              <w:rPr>
                <w:b/>
                <w:bCs/>
                <w:sz w:val="18"/>
                <w:szCs w:val="18"/>
                <w:lang w:val="en-US"/>
              </w:rPr>
            </w:pPr>
            <w:r w:rsidRPr="008F521F">
              <w:rPr>
                <w:b/>
                <w:bCs/>
                <w:sz w:val="18"/>
                <w:szCs w:val="18"/>
                <w:lang w:val="en-US"/>
              </w:rPr>
              <w:t>Group</w:t>
            </w:r>
          </w:p>
          <w:p w14:paraId="628D42EE" w14:textId="77777777" w:rsidR="008F521F" w:rsidRPr="008F521F" w:rsidRDefault="008F521F" w:rsidP="00853B07">
            <w:pPr>
              <w:rPr>
                <w:b/>
                <w:bCs/>
                <w:sz w:val="18"/>
                <w:szCs w:val="18"/>
                <w:lang w:val="en-US"/>
              </w:rPr>
            </w:pPr>
            <w:r w:rsidRPr="008F521F">
              <w:rPr>
                <w:b/>
                <w:bCs/>
                <w:sz w:val="18"/>
                <w:szCs w:val="18"/>
                <w:lang w:val="en-US"/>
              </w:rPr>
              <w:t>2024 Restated (</w:t>
            </w:r>
            <w:proofErr w:type="spellStart"/>
            <w:r w:rsidRPr="008F521F">
              <w:rPr>
                <w:b/>
                <w:bCs/>
                <w:sz w:val="18"/>
                <w:szCs w:val="18"/>
                <w:lang w:val="en-US"/>
              </w:rPr>
              <w:t>i</w:t>
            </w:r>
            <w:proofErr w:type="spellEnd"/>
            <w:r w:rsidRPr="008F521F">
              <w:rPr>
                <w:b/>
                <w:bCs/>
                <w:sz w:val="18"/>
                <w:szCs w:val="18"/>
                <w:lang w:val="en-US"/>
              </w:rPr>
              <w:t>) $’000</w:t>
            </w:r>
          </w:p>
        </w:tc>
      </w:tr>
      <w:tr w:rsidR="008F521F" w:rsidRPr="009F247D" w14:paraId="1C38841D" w14:textId="77777777" w:rsidTr="00853B07">
        <w:trPr>
          <w:cantSplit/>
          <w:trHeight w:val="15"/>
        </w:trPr>
        <w:tc>
          <w:tcPr>
            <w:tcW w:w="3964" w:type="dxa"/>
            <w:shd w:val="clear" w:color="auto" w:fill="FFFFFF" w:themeFill="background1"/>
          </w:tcPr>
          <w:p w14:paraId="197FCFCD" w14:textId="77777777" w:rsidR="008F521F" w:rsidRPr="008F521F" w:rsidRDefault="008F521F" w:rsidP="00853B07">
            <w:pPr>
              <w:rPr>
                <w:sz w:val="18"/>
                <w:szCs w:val="18"/>
              </w:rPr>
            </w:pPr>
            <w:r w:rsidRPr="008F521F">
              <w:rPr>
                <w:sz w:val="18"/>
                <w:szCs w:val="18"/>
              </w:rPr>
              <w:t>Surplus for the year</w:t>
            </w:r>
          </w:p>
        </w:tc>
        <w:tc>
          <w:tcPr>
            <w:tcW w:w="1057" w:type="dxa"/>
            <w:shd w:val="clear" w:color="auto" w:fill="FFFFFF" w:themeFill="background1"/>
          </w:tcPr>
          <w:p w14:paraId="5753A53E" w14:textId="77777777" w:rsidR="008F521F" w:rsidRPr="008F521F" w:rsidRDefault="008F521F" w:rsidP="00500872">
            <w:pPr>
              <w:jc w:val="right"/>
              <w:rPr>
                <w:sz w:val="18"/>
                <w:szCs w:val="18"/>
              </w:rPr>
            </w:pPr>
            <w:r w:rsidRPr="008F521F">
              <w:rPr>
                <w:sz w:val="18"/>
                <w:szCs w:val="18"/>
              </w:rPr>
              <w:t xml:space="preserve"> 53,622 </w:t>
            </w:r>
          </w:p>
        </w:tc>
        <w:tc>
          <w:tcPr>
            <w:tcW w:w="1058" w:type="dxa"/>
            <w:shd w:val="clear" w:color="auto" w:fill="FFFFFF" w:themeFill="background1"/>
          </w:tcPr>
          <w:p w14:paraId="3EF71716" w14:textId="77777777" w:rsidR="008F521F" w:rsidRPr="008F521F" w:rsidRDefault="008F521F" w:rsidP="00500872">
            <w:pPr>
              <w:jc w:val="right"/>
              <w:rPr>
                <w:sz w:val="18"/>
                <w:szCs w:val="18"/>
              </w:rPr>
            </w:pPr>
            <w:r w:rsidRPr="008F521F">
              <w:rPr>
                <w:sz w:val="18"/>
                <w:szCs w:val="18"/>
              </w:rPr>
              <w:t xml:space="preserve"> 54,355 </w:t>
            </w:r>
          </w:p>
        </w:tc>
        <w:tc>
          <w:tcPr>
            <w:tcW w:w="1057" w:type="dxa"/>
            <w:shd w:val="clear" w:color="auto" w:fill="FFFFFF" w:themeFill="background1"/>
          </w:tcPr>
          <w:p w14:paraId="283D7F7C" w14:textId="77777777" w:rsidR="008F521F" w:rsidRPr="008F521F" w:rsidRDefault="008F521F" w:rsidP="00500872">
            <w:pPr>
              <w:jc w:val="right"/>
              <w:rPr>
                <w:sz w:val="18"/>
                <w:szCs w:val="18"/>
              </w:rPr>
            </w:pPr>
            <w:r w:rsidRPr="008F521F">
              <w:rPr>
                <w:sz w:val="18"/>
                <w:szCs w:val="18"/>
              </w:rPr>
              <w:t xml:space="preserve"> 95,407 </w:t>
            </w:r>
          </w:p>
        </w:tc>
        <w:tc>
          <w:tcPr>
            <w:tcW w:w="1058" w:type="dxa"/>
            <w:shd w:val="clear" w:color="auto" w:fill="FFFFFF" w:themeFill="background1"/>
          </w:tcPr>
          <w:p w14:paraId="5A507F61" w14:textId="77777777" w:rsidR="008F521F" w:rsidRPr="008F521F" w:rsidRDefault="008F521F" w:rsidP="00500872">
            <w:pPr>
              <w:jc w:val="right"/>
              <w:rPr>
                <w:sz w:val="18"/>
                <w:szCs w:val="18"/>
              </w:rPr>
            </w:pPr>
            <w:r w:rsidRPr="008F521F">
              <w:rPr>
                <w:sz w:val="18"/>
                <w:szCs w:val="18"/>
              </w:rPr>
              <w:t xml:space="preserve"> 67,115 </w:t>
            </w:r>
          </w:p>
        </w:tc>
        <w:tc>
          <w:tcPr>
            <w:tcW w:w="1058" w:type="dxa"/>
            <w:shd w:val="clear" w:color="auto" w:fill="FFFFFF" w:themeFill="background1"/>
          </w:tcPr>
          <w:p w14:paraId="5D338314" w14:textId="77777777" w:rsidR="008F521F" w:rsidRPr="008F521F" w:rsidRDefault="008F521F" w:rsidP="00500872">
            <w:pPr>
              <w:jc w:val="right"/>
              <w:rPr>
                <w:sz w:val="18"/>
                <w:szCs w:val="18"/>
              </w:rPr>
            </w:pPr>
            <w:r w:rsidRPr="008F521F">
              <w:rPr>
                <w:sz w:val="18"/>
                <w:szCs w:val="18"/>
              </w:rPr>
              <w:t xml:space="preserve"> 100,742 </w:t>
            </w:r>
          </w:p>
        </w:tc>
      </w:tr>
      <w:tr w:rsidR="008F521F" w:rsidRPr="009F247D" w14:paraId="577DF1E1" w14:textId="77777777" w:rsidTr="00853B07">
        <w:trPr>
          <w:cantSplit/>
          <w:trHeight w:val="15"/>
        </w:trPr>
        <w:tc>
          <w:tcPr>
            <w:tcW w:w="9252" w:type="dxa"/>
            <w:gridSpan w:val="6"/>
            <w:shd w:val="clear" w:color="auto" w:fill="FFFFFF" w:themeFill="background1"/>
          </w:tcPr>
          <w:p w14:paraId="3F310AF3" w14:textId="77777777" w:rsidR="008F521F" w:rsidRPr="008F521F" w:rsidRDefault="008F521F" w:rsidP="00853B07">
            <w:pPr>
              <w:rPr>
                <w:rFonts w:cs="HelveticaNeueLT Std"/>
                <w:b/>
                <w:bCs/>
                <w:sz w:val="18"/>
                <w:szCs w:val="18"/>
              </w:rPr>
            </w:pPr>
            <w:r w:rsidRPr="008F521F">
              <w:rPr>
                <w:b/>
                <w:bCs/>
                <w:sz w:val="18"/>
                <w:szCs w:val="18"/>
              </w:rPr>
              <w:t>Other comprehensive revenue and expense</w:t>
            </w:r>
          </w:p>
        </w:tc>
      </w:tr>
      <w:tr w:rsidR="008F521F" w:rsidRPr="009F247D" w14:paraId="62235143" w14:textId="77777777" w:rsidTr="00853B07">
        <w:trPr>
          <w:cantSplit/>
          <w:trHeight w:val="15"/>
        </w:trPr>
        <w:tc>
          <w:tcPr>
            <w:tcW w:w="9252" w:type="dxa"/>
            <w:gridSpan w:val="6"/>
            <w:shd w:val="clear" w:color="auto" w:fill="FFFFFF" w:themeFill="background1"/>
          </w:tcPr>
          <w:p w14:paraId="15B52A45" w14:textId="77777777" w:rsidR="008F521F" w:rsidRPr="008F521F" w:rsidRDefault="008F521F" w:rsidP="00853B07">
            <w:pPr>
              <w:rPr>
                <w:i/>
                <w:iCs/>
                <w:sz w:val="18"/>
                <w:szCs w:val="18"/>
              </w:rPr>
            </w:pPr>
            <w:r w:rsidRPr="008F521F">
              <w:rPr>
                <w:i/>
                <w:iCs/>
                <w:sz w:val="18"/>
                <w:szCs w:val="18"/>
              </w:rPr>
              <w:t>May be reclassified subsequently to revenue or expense when specific conditions are met</w:t>
            </w:r>
          </w:p>
        </w:tc>
      </w:tr>
      <w:tr w:rsidR="008F521F" w:rsidRPr="009F247D" w14:paraId="4CD2C7D5" w14:textId="77777777" w:rsidTr="00853B07">
        <w:trPr>
          <w:cantSplit/>
          <w:trHeight w:val="15"/>
        </w:trPr>
        <w:tc>
          <w:tcPr>
            <w:tcW w:w="3964" w:type="dxa"/>
            <w:shd w:val="clear" w:color="auto" w:fill="FFFFFF" w:themeFill="background1"/>
          </w:tcPr>
          <w:p w14:paraId="7FF15A04" w14:textId="77777777" w:rsidR="008F521F" w:rsidRPr="008F521F" w:rsidRDefault="008F521F" w:rsidP="00853B07">
            <w:pPr>
              <w:rPr>
                <w:sz w:val="18"/>
                <w:szCs w:val="18"/>
              </w:rPr>
            </w:pPr>
            <w:r w:rsidRPr="008F521F">
              <w:rPr>
                <w:sz w:val="18"/>
                <w:szCs w:val="18"/>
              </w:rPr>
              <w:t>Gain/(loss) on revaluation</w:t>
            </w:r>
          </w:p>
        </w:tc>
        <w:tc>
          <w:tcPr>
            <w:tcW w:w="1057" w:type="dxa"/>
            <w:shd w:val="clear" w:color="auto" w:fill="FFFFFF" w:themeFill="background1"/>
          </w:tcPr>
          <w:p w14:paraId="6917541F" w14:textId="77777777" w:rsidR="008F521F" w:rsidRPr="008F521F" w:rsidRDefault="008F521F" w:rsidP="00500872">
            <w:pPr>
              <w:jc w:val="right"/>
              <w:rPr>
                <w:sz w:val="18"/>
                <w:szCs w:val="18"/>
              </w:rPr>
            </w:pPr>
            <w:r w:rsidRPr="008F521F">
              <w:rPr>
                <w:sz w:val="18"/>
                <w:szCs w:val="18"/>
              </w:rPr>
              <w:t xml:space="preserve"> 64,530 </w:t>
            </w:r>
          </w:p>
        </w:tc>
        <w:tc>
          <w:tcPr>
            <w:tcW w:w="1058" w:type="dxa"/>
            <w:shd w:val="clear" w:color="auto" w:fill="FFFFFF" w:themeFill="background1"/>
          </w:tcPr>
          <w:p w14:paraId="3F030F17" w14:textId="77777777" w:rsidR="008F521F" w:rsidRPr="008F521F" w:rsidRDefault="008F521F" w:rsidP="00500872">
            <w:pPr>
              <w:jc w:val="right"/>
              <w:rPr>
                <w:sz w:val="18"/>
                <w:szCs w:val="18"/>
              </w:rPr>
            </w:pPr>
            <w:r w:rsidRPr="008F521F">
              <w:rPr>
                <w:sz w:val="18"/>
                <w:szCs w:val="18"/>
              </w:rPr>
              <w:t xml:space="preserve"> 136,142 </w:t>
            </w:r>
          </w:p>
        </w:tc>
        <w:tc>
          <w:tcPr>
            <w:tcW w:w="1057" w:type="dxa"/>
            <w:shd w:val="clear" w:color="auto" w:fill="FFFFFF" w:themeFill="background1"/>
          </w:tcPr>
          <w:p w14:paraId="7366B96C" w14:textId="77777777" w:rsidR="008F521F" w:rsidRPr="008F521F" w:rsidRDefault="008F521F" w:rsidP="00500872">
            <w:pPr>
              <w:jc w:val="right"/>
              <w:rPr>
                <w:sz w:val="18"/>
                <w:szCs w:val="18"/>
              </w:rPr>
            </w:pPr>
            <w:r w:rsidRPr="008F521F">
              <w:rPr>
                <w:sz w:val="18"/>
                <w:szCs w:val="18"/>
              </w:rPr>
              <w:t xml:space="preserve"> (9,732)</w:t>
            </w:r>
          </w:p>
        </w:tc>
        <w:tc>
          <w:tcPr>
            <w:tcW w:w="1058" w:type="dxa"/>
            <w:shd w:val="clear" w:color="auto" w:fill="FFFFFF" w:themeFill="background1"/>
          </w:tcPr>
          <w:p w14:paraId="46E45CCB" w14:textId="77777777" w:rsidR="008F521F" w:rsidRPr="008F521F" w:rsidRDefault="008F521F" w:rsidP="00500872">
            <w:pPr>
              <w:jc w:val="right"/>
              <w:rPr>
                <w:sz w:val="18"/>
                <w:szCs w:val="18"/>
              </w:rPr>
            </w:pPr>
            <w:r w:rsidRPr="008F521F">
              <w:rPr>
                <w:sz w:val="18"/>
                <w:szCs w:val="18"/>
              </w:rPr>
              <w:t xml:space="preserve"> 127,469 </w:t>
            </w:r>
          </w:p>
        </w:tc>
        <w:tc>
          <w:tcPr>
            <w:tcW w:w="1058" w:type="dxa"/>
            <w:shd w:val="clear" w:color="auto" w:fill="FFFFFF" w:themeFill="background1"/>
          </w:tcPr>
          <w:p w14:paraId="41C8BBA0" w14:textId="77777777" w:rsidR="008F521F" w:rsidRPr="008F521F" w:rsidRDefault="008F521F" w:rsidP="00500872">
            <w:pPr>
              <w:jc w:val="right"/>
              <w:rPr>
                <w:sz w:val="18"/>
                <w:szCs w:val="18"/>
              </w:rPr>
            </w:pPr>
            <w:r w:rsidRPr="008F521F">
              <w:rPr>
                <w:sz w:val="18"/>
                <w:szCs w:val="18"/>
              </w:rPr>
              <w:t xml:space="preserve"> (9,732)</w:t>
            </w:r>
          </w:p>
        </w:tc>
      </w:tr>
      <w:tr w:rsidR="008F521F" w:rsidRPr="009F247D" w14:paraId="4ADF4CAB" w14:textId="77777777" w:rsidTr="00853B07">
        <w:trPr>
          <w:cantSplit/>
          <w:trHeight w:val="15"/>
        </w:trPr>
        <w:tc>
          <w:tcPr>
            <w:tcW w:w="3964" w:type="dxa"/>
            <w:shd w:val="clear" w:color="auto" w:fill="FFFFFF" w:themeFill="background1"/>
          </w:tcPr>
          <w:p w14:paraId="4D4926FF" w14:textId="77777777" w:rsidR="008F521F" w:rsidRPr="008F521F" w:rsidRDefault="008F521F" w:rsidP="00853B07">
            <w:pPr>
              <w:rPr>
                <w:sz w:val="18"/>
                <w:szCs w:val="18"/>
              </w:rPr>
            </w:pPr>
            <w:r w:rsidRPr="008F521F">
              <w:rPr>
                <w:sz w:val="18"/>
                <w:szCs w:val="18"/>
              </w:rPr>
              <w:t>Income tax relating to revaluation</w:t>
            </w:r>
          </w:p>
        </w:tc>
        <w:tc>
          <w:tcPr>
            <w:tcW w:w="1057" w:type="dxa"/>
            <w:shd w:val="clear" w:color="auto" w:fill="FFFFFF" w:themeFill="background1"/>
          </w:tcPr>
          <w:p w14:paraId="0A69DEB4" w14:textId="77777777" w:rsidR="008F521F" w:rsidRPr="008F521F" w:rsidRDefault="008F521F" w:rsidP="00500872">
            <w:pPr>
              <w:jc w:val="right"/>
              <w:rPr>
                <w:sz w:val="18"/>
                <w:szCs w:val="18"/>
              </w:rPr>
            </w:pPr>
            <w:r w:rsidRPr="008F521F">
              <w:rPr>
                <w:sz w:val="18"/>
                <w:szCs w:val="18"/>
              </w:rPr>
              <w:t xml:space="preserve"> -   </w:t>
            </w:r>
          </w:p>
        </w:tc>
        <w:tc>
          <w:tcPr>
            <w:tcW w:w="1058" w:type="dxa"/>
            <w:shd w:val="clear" w:color="auto" w:fill="FFFFFF" w:themeFill="background1"/>
          </w:tcPr>
          <w:p w14:paraId="1A915F9B" w14:textId="77777777" w:rsidR="008F521F" w:rsidRPr="008F521F" w:rsidRDefault="008F521F" w:rsidP="00500872">
            <w:pPr>
              <w:jc w:val="right"/>
              <w:rPr>
                <w:sz w:val="18"/>
                <w:szCs w:val="18"/>
              </w:rPr>
            </w:pPr>
            <w:r w:rsidRPr="008F521F">
              <w:rPr>
                <w:sz w:val="18"/>
                <w:szCs w:val="18"/>
              </w:rPr>
              <w:t xml:space="preserve"> -   </w:t>
            </w:r>
          </w:p>
        </w:tc>
        <w:tc>
          <w:tcPr>
            <w:tcW w:w="1057" w:type="dxa"/>
            <w:shd w:val="clear" w:color="auto" w:fill="FFFFFF" w:themeFill="background1"/>
          </w:tcPr>
          <w:p w14:paraId="560D8A55" w14:textId="77777777" w:rsidR="008F521F" w:rsidRPr="008F521F" w:rsidRDefault="008F521F" w:rsidP="00500872">
            <w:pPr>
              <w:jc w:val="right"/>
              <w:rPr>
                <w:sz w:val="18"/>
                <w:szCs w:val="18"/>
              </w:rPr>
            </w:pPr>
            <w:r w:rsidRPr="008F521F">
              <w:rPr>
                <w:sz w:val="18"/>
                <w:szCs w:val="18"/>
              </w:rPr>
              <w:t xml:space="preserve"> -   </w:t>
            </w:r>
          </w:p>
        </w:tc>
        <w:tc>
          <w:tcPr>
            <w:tcW w:w="1058" w:type="dxa"/>
            <w:shd w:val="clear" w:color="auto" w:fill="FFFFFF" w:themeFill="background1"/>
          </w:tcPr>
          <w:p w14:paraId="6080D497" w14:textId="77777777" w:rsidR="008F521F" w:rsidRPr="008F521F" w:rsidRDefault="008F521F" w:rsidP="00500872">
            <w:pPr>
              <w:jc w:val="right"/>
              <w:rPr>
                <w:sz w:val="18"/>
                <w:szCs w:val="18"/>
              </w:rPr>
            </w:pPr>
            <w:r w:rsidRPr="008F521F">
              <w:rPr>
                <w:sz w:val="18"/>
                <w:szCs w:val="18"/>
              </w:rPr>
              <w:t xml:space="preserve"> (5,885)</w:t>
            </w:r>
          </w:p>
        </w:tc>
        <w:tc>
          <w:tcPr>
            <w:tcW w:w="1058" w:type="dxa"/>
            <w:shd w:val="clear" w:color="auto" w:fill="FFFFFF" w:themeFill="background1"/>
          </w:tcPr>
          <w:p w14:paraId="49688C68" w14:textId="77777777" w:rsidR="008F521F" w:rsidRPr="008F521F" w:rsidRDefault="008F521F" w:rsidP="00500872">
            <w:pPr>
              <w:jc w:val="right"/>
              <w:rPr>
                <w:sz w:val="18"/>
                <w:szCs w:val="18"/>
              </w:rPr>
            </w:pPr>
            <w:r w:rsidRPr="008F521F">
              <w:rPr>
                <w:sz w:val="18"/>
                <w:szCs w:val="18"/>
              </w:rPr>
              <w:t xml:space="preserve"> -   </w:t>
            </w:r>
          </w:p>
        </w:tc>
      </w:tr>
      <w:tr w:rsidR="008F521F" w:rsidRPr="009F247D" w14:paraId="4E93BEBE" w14:textId="77777777" w:rsidTr="00853B07">
        <w:trPr>
          <w:cantSplit/>
          <w:trHeight w:val="15"/>
        </w:trPr>
        <w:tc>
          <w:tcPr>
            <w:tcW w:w="3964" w:type="dxa"/>
            <w:shd w:val="clear" w:color="auto" w:fill="FFFFFF" w:themeFill="background1"/>
          </w:tcPr>
          <w:p w14:paraId="738D229F" w14:textId="77777777" w:rsidR="008F521F" w:rsidRPr="008F521F" w:rsidRDefault="008F521F" w:rsidP="00853B07">
            <w:pPr>
              <w:rPr>
                <w:sz w:val="18"/>
                <w:szCs w:val="18"/>
              </w:rPr>
            </w:pPr>
            <w:r w:rsidRPr="008F521F">
              <w:rPr>
                <w:sz w:val="18"/>
                <w:szCs w:val="18"/>
              </w:rPr>
              <w:t>Gain/(loss) on cash flow hedging</w:t>
            </w:r>
          </w:p>
        </w:tc>
        <w:tc>
          <w:tcPr>
            <w:tcW w:w="1057" w:type="dxa"/>
            <w:shd w:val="clear" w:color="auto" w:fill="FFFFFF" w:themeFill="background1"/>
          </w:tcPr>
          <w:p w14:paraId="08761A30" w14:textId="77777777" w:rsidR="008F521F" w:rsidRPr="008F521F" w:rsidRDefault="008F521F" w:rsidP="00500872">
            <w:pPr>
              <w:jc w:val="right"/>
              <w:rPr>
                <w:sz w:val="18"/>
                <w:szCs w:val="18"/>
              </w:rPr>
            </w:pPr>
            <w:r w:rsidRPr="008F521F">
              <w:rPr>
                <w:sz w:val="18"/>
                <w:szCs w:val="18"/>
              </w:rPr>
              <w:t xml:space="preserve"> -   </w:t>
            </w:r>
          </w:p>
        </w:tc>
        <w:tc>
          <w:tcPr>
            <w:tcW w:w="1058" w:type="dxa"/>
            <w:shd w:val="clear" w:color="auto" w:fill="FFFFFF" w:themeFill="background1"/>
          </w:tcPr>
          <w:p w14:paraId="35D7509F" w14:textId="77777777" w:rsidR="008F521F" w:rsidRPr="008F521F" w:rsidRDefault="008F521F" w:rsidP="00500872">
            <w:pPr>
              <w:jc w:val="right"/>
              <w:rPr>
                <w:sz w:val="18"/>
                <w:szCs w:val="18"/>
              </w:rPr>
            </w:pPr>
            <w:r w:rsidRPr="008F521F">
              <w:rPr>
                <w:sz w:val="18"/>
                <w:szCs w:val="18"/>
              </w:rPr>
              <w:t xml:space="preserve"> -   </w:t>
            </w:r>
          </w:p>
        </w:tc>
        <w:tc>
          <w:tcPr>
            <w:tcW w:w="1057" w:type="dxa"/>
            <w:shd w:val="clear" w:color="auto" w:fill="FFFFFF" w:themeFill="background1"/>
          </w:tcPr>
          <w:p w14:paraId="203CAB8C" w14:textId="77777777" w:rsidR="008F521F" w:rsidRPr="008F521F" w:rsidRDefault="008F521F" w:rsidP="00500872">
            <w:pPr>
              <w:jc w:val="right"/>
              <w:rPr>
                <w:sz w:val="18"/>
                <w:szCs w:val="18"/>
              </w:rPr>
            </w:pPr>
            <w:r w:rsidRPr="008F521F">
              <w:rPr>
                <w:sz w:val="18"/>
                <w:szCs w:val="18"/>
              </w:rPr>
              <w:t xml:space="preserve"> -   </w:t>
            </w:r>
          </w:p>
        </w:tc>
        <w:tc>
          <w:tcPr>
            <w:tcW w:w="1058" w:type="dxa"/>
            <w:shd w:val="clear" w:color="auto" w:fill="FFFFFF" w:themeFill="background1"/>
          </w:tcPr>
          <w:p w14:paraId="528DCDC9" w14:textId="77777777" w:rsidR="008F521F" w:rsidRPr="008F521F" w:rsidRDefault="008F521F" w:rsidP="00500872">
            <w:pPr>
              <w:jc w:val="right"/>
              <w:rPr>
                <w:sz w:val="18"/>
                <w:szCs w:val="18"/>
              </w:rPr>
            </w:pPr>
            <w:r w:rsidRPr="008F521F">
              <w:rPr>
                <w:sz w:val="18"/>
                <w:szCs w:val="18"/>
              </w:rPr>
              <w:t xml:space="preserve"> (1,086)</w:t>
            </w:r>
          </w:p>
        </w:tc>
        <w:tc>
          <w:tcPr>
            <w:tcW w:w="1058" w:type="dxa"/>
            <w:shd w:val="clear" w:color="auto" w:fill="FFFFFF" w:themeFill="background1"/>
          </w:tcPr>
          <w:p w14:paraId="251C6D24" w14:textId="77777777" w:rsidR="008F521F" w:rsidRPr="008F521F" w:rsidRDefault="008F521F" w:rsidP="00500872">
            <w:pPr>
              <w:jc w:val="right"/>
              <w:rPr>
                <w:sz w:val="18"/>
                <w:szCs w:val="18"/>
              </w:rPr>
            </w:pPr>
            <w:r w:rsidRPr="008F521F">
              <w:rPr>
                <w:sz w:val="18"/>
                <w:szCs w:val="18"/>
              </w:rPr>
              <w:t xml:space="preserve"> (239)</w:t>
            </w:r>
          </w:p>
        </w:tc>
      </w:tr>
      <w:tr w:rsidR="008F521F" w:rsidRPr="009F247D" w14:paraId="7F9F7284" w14:textId="77777777" w:rsidTr="00853B07">
        <w:trPr>
          <w:cantSplit/>
          <w:trHeight w:val="15"/>
        </w:trPr>
        <w:tc>
          <w:tcPr>
            <w:tcW w:w="3964" w:type="dxa"/>
            <w:shd w:val="clear" w:color="auto" w:fill="FFFFFF" w:themeFill="background1"/>
          </w:tcPr>
          <w:p w14:paraId="15094F80" w14:textId="77777777" w:rsidR="008F521F" w:rsidRPr="008F521F" w:rsidRDefault="008F521F" w:rsidP="00853B07">
            <w:pPr>
              <w:rPr>
                <w:sz w:val="18"/>
                <w:szCs w:val="18"/>
              </w:rPr>
            </w:pPr>
            <w:r w:rsidRPr="008F521F">
              <w:rPr>
                <w:sz w:val="18"/>
                <w:szCs w:val="18"/>
              </w:rPr>
              <w:t>Realised gain/ (losses) transferred to the statement of financial performance</w:t>
            </w:r>
          </w:p>
        </w:tc>
        <w:tc>
          <w:tcPr>
            <w:tcW w:w="1057" w:type="dxa"/>
            <w:shd w:val="clear" w:color="auto" w:fill="FFFFFF" w:themeFill="background1"/>
          </w:tcPr>
          <w:p w14:paraId="213B9820" w14:textId="77777777" w:rsidR="008F521F" w:rsidRPr="008F521F" w:rsidRDefault="008F521F" w:rsidP="00500872">
            <w:pPr>
              <w:jc w:val="right"/>
              <w:rPr>
                <w:sz w:val="18"/>
                <w:szCs w:val="18"/>
              </w:rPr>
            </w:pPr>
            <w:r w:rsidRPr="008F521F">
              <w:rPr>
                <w:sz w:val="18"/>
                <w:szCs w:val="18"/>
              </w:rPr>
              <w:t xml:space="preserve"> -   </w:t>
            </w:r>
          </w:p>
        </w:tc>
        <w:tc>
          <w:tcPr>
            <w:tcW w:w="1058" w:type="dxa"/>
            <w:shd w:val="clear" w:color="auto" w:fill="FFFFFF" w:themeFill="background1"/>
          </w:tcPr>
          <w:p w14:paraId="0647C710" w14:textId="77777777" w:rsidR="008F521F" w:rsidRPr="008F521F" w:rsidRDefault="008F521F" w:rsidP="00500872">
            <w:pPr>
              <w:jc w:val="right"/>
              <w:rPr>
                <w:sz w:val="18"/>
                <w:szCs w:val="18"/>
              </w:rPr>
            </w:pPr>
            <w:r w:rsidRPr="008F521F">
              <w:rPr>
                <w:sz w:val="18"/>
                <w:szCs w:val="18"/>
              </w:rPr>
              <w:t xml:space="preserve"> 360 </w:t>
            </w:r>
          </w:p>
        </w:tc>
        <w:tc>
          <w:tcPr>
            <w:tcW w:w="1057" w:type="dxa"/>
            <w:shd w:val="clear" w:color="auto" w:fill="FFFFFF" w:themeFill="background1"/>
          </w:tcPr>
          <w:p w14:paraId="0AAC7693" w14:textId="77777777" w:rsidR="008F521F" w:rsidRPr="008F521F" w:rsidRDefault="008F521F" w:rsidP="00500872">
            <w:pPr>
              <w:jc w:val="right"/>
              <w:rPr>
                <w:sz w:val="18"/>
                <w:szCs w:val="18"/>
              </w:rPr>
            </w:pPr>
            <w:r w:rsidRPr="008F521F">
              <w:rPr>
                <w:sz w:val="18"/>
                <w:szCs w:val="18"/>
              </w:rPr>
              <w:t xml:space="preserve"> -   </w:t>
            </w:r>
          </w:p>
        </w:tc>
        <w:tc>
          <w:tcPr>
            <w:tcW w:w="1058" w:type="dxa"/>
            <w:shd w:val="clear" w:color="auto" w:fill="FFFFFF" w:themeFill="background1"/>
          </w:tcPr>
          <w:p w14:paraId="154D9D01" w14:textId="77777777" w:rsidR="008F521F" w:rsidRPr="008F521F" w:rsidRDefault="008F521F" w:rsidP="00500872">
            <w:pPr>
              <w:jc w:val="right"/>
              <w:rPr>
                <w:sz w:val="18"/>
                <w:szCs w:val="18"/>
              </w:rPr>
            </w:pPr>
            <w:r w:rsidRPr="008F521F">
              <w:rPr>
                <w:sz w:val="18"/>
                <w:szCs w:val="18"/>
              </w:rPr>
              <w:t xml:space="preserve"> -   </w:t>
            </w:r>
          </w:p>
        </w:tc>
        <w:tc>
          <w:tcPr>
            <w:tcW w:w="1058" w:type="dxa"/>
            <w:shd w:val="clear" w:color="auto" w:fill="FFFFFF" w:themeFill="background1"/>
          </w:tcPr>
          <w:p w14:paraId="5D8CDA4C" w14:textId="77777777" w:rsidR="008F521F" w:rsidRPr="008F521F" w:rsidRDefault="008F521F" w:rsidP="00500872">
            <w:pPr>
              <w:jc w:val="right"/>
              <w:rPr>
                <w:sz w:val="18"/>
                <w:szCs w:val="18"/>
              </w:rPr>
            </w:pPr>
            <w:r w:rsidRPr="008F521F">
              <w:rPr>
                <w:sz w:val="18"/>
                <w:szCs w:val="18"/>
              </w:rPr>
              <w:t xml:space="preserve"> -   </w:t>
            </w:r>
          </w:p>
        </w:tc>
      </w:tr>
      <w:tr w:rsidR="008F521F" w:rsidRPr="009F247D" w14:paraId="77D1C397" w14:textId="77777777" w:rsidTr="00853B07">
        <w:trPr>
          <w:cantSplit/>
          <w:trHeight w:val="15"/>
        </w:trPr>
        <w:tc>
          <w:tcPr>
            <w:tcW w:w="3964" w:type="dxa"/>
            <w:shd w:val="clear" w:color="auto" w:fill="FFFFFF" w:themeFill="background1"/>
          </w:tcPr>
          <w:p w14:paraId="22F93B26" w14:textId="77777777" w:rsidR="008F521F" w:rsidRPr="008F521F" w:rsidRDefault="008F521F" w:rsidP="00853B07">
            <w:pPr>
              <w:rPr>
                <w:sz w:val="18"/>
                <w:szCs w:val="18"/>
              </w:rPr>
            </w:pPr>
            <w:r w:rsidRPr="008F521F">
              <w:rPr>
                <w:sz w:val="18"/>
                <w:szCs w:val="18"/>
              </w:rPr>
              <w:t>Income tax relating to cash flow hedging</w:t>
            </w:r>
          </w:p>
        </w:tc>
        <w:tc>
          <w:tcPr>
            <w:tcW w:w="1057" w:type="dxa"/>
            <w:shd w:val="clear" w:color="auto" w:fill="FFFFFF" w:themeFill="background1"/>
          </w:tcPr>
          <w:p w14:paraId="4E5EEAC2" w14:textId="77777777" w:rsidR="008F521F" w:rsidRPr="008F521F" w:rsidRDefault="008F521F" w:rsidP="00500872">
            <w:pPr>
              <w:jc w:val="right"/>
              <w:rPr>
                <w:sz w:val="18"/>
                <w:szCs w:val="18"/>
              </w:rPr>
            </w:pPr>
            <w:r w:rsidRPr="008F521F">
              <w:rPr>
                <w:sz w:val="18"/>
                <w:szCs w:val="18"/>
              </w:rPr>
              <w:t xml:space="preserve"> -   </w:t>
            </w:r>
          </w:p>
        </w:tc>
        <w:tc>
          <w:tcPr>
            <w:tcW w:w="1058" w:type="dxa"/>
            <w:shd w:val="clear" w:color="auto" w:fill="FFFFFF" w:themeFill="background1"/>
          </w:tcPr>
          <w:p w14:paraId="2A60F908" w14:textId="77777777" w:rsidR="008F521F" w:rsidRPr="008F521F" w:rsidRDefault="008F521F" w:rsidP="00500872">
            <w:pPr>
              <w:jc w:val="right"/>
              <w:rPr>
                <w:sz w:val="18"/>
                <w:szCs w:val="18"/>
              </w:rPr>
            </w:pPr>
            <w:r w:rsidRPr="008F521F">
              <w:rPr>
                <w:sz w:val="18"/>
                <w:szCs w:val="18"/>
              </w:rPr>
              <w:t xml:space="preserve"> -   </w:t>
            </w:r>
          </w:p>
        </w:tc>
        <w:tc>
          <w:tcPr>
            <w:tcW w:w="1057" w:type="dxa"/>
            <w:shd w:val="clear" w:color="auto" w:fill="FFFFFF" w:themeFill="background1"/>
          </w:tcPr>
          <w:p w14:paraId="653E789A" w14:textId="77777777" w:rsidR="008F521F" w:rsidRPr="008F521F" w:rsidRDefault="008F521F" w:rsidP="00500872">
            <w:pPr>
              <w:jc w:val="right"/>
              <w:rPr>
                <w:sz w:val="18"/>
                <w:szCs w:val="18"/>
              </w:rPr>
            </w:pPr>
            <w:r w:rsidRPr="008F521F">
              <w:rPr>
                <w:sz w:val="18"/>
                <w:szCs w:val="18"/>
              </w:rPr>
              <w:t xml:space="preserve"> -   </w:t>
            </w:r>
          </w:p>
        </w:tc>
        <w:tc>
          <w:tcPr>
            <w:tcW w:w="1058" w:type="dxa"/>
            <w:shd w:val="clear" w:color="auto" w:fill="FFFFFF" w:themeFill="background1"/>
          </w:tcPr>
          <w:p w14:paraId="28A59DD7" w14:textId="77777777" w:rsidR="008F521F" w:rsidRPr="008F521F" w:rsidRDefault="008F521F" w:rsidP="00500872">
            <w:pPr>
              <w:jc w:val="right"/>
              <w:rPr>
                <w:sz w:val="18"/>
                <w:szCs w:val="18"/>
              </w:rPr>
            </w:pPr>
            <w:r w:rsidRPr="008F521F">
              <w:rPr>
                <w:sz w:val="18"/>
                <w:szCs w:val="18"/>
              </w:rPr>
              <w:t xml:space="preserve"> 304 </w:t>
            </w:r>
          </w:p>
        </w:tc>
        <w:tc>
          <w:tcPr>
            <w:tcW w:w="1058" w:type="dxa"/>
            <w:shd w:val="clear" w:color="auto" w:fill="FFFFFF" w:themeFill="background1"/>
          </w:tcPr>
          <w:p w14:paraId="74A4F82D" w14:textId="77777777" w:rsidR="008F521F" w:rsidRPr="008F521F" w:rsidRDefault="008F521F" w:rsidP="00500872">
            <w:pPr>
              <w:jc w:val="right"/>
              <w:rPr>
                <w:sz w:val="18"/>
                <w:szCs w:val="18"/>
              </w:rPr>
            </w:pPr>
            <w:r w:rsidRPr="008F521F">
              <w:rPr>
                <w:sz w:val="18"/>
                <w:szCs w:val="18"/>
              </w:rPr>
              <w:t xml:space="preserve"> 87 </w:t>
            </w:r>
          </w:p>
        </w:tc>
      </w:tr>
      <w:tr w:rsidR="008F521F" w:rsidRPr="009F247D" w14:paraId="5AEE27A4" w14:textId="77777777" w:rsidTr="00853B07">
        <w:trPr>
          <w:cantSplit/>
          <w:trHeight w:val="15"/>
        </w:trPr>
        <w:tc>
          <w:tcPr>
            <w:tcW w:w="3964" w:type="dxa"/>
            <w:shd w:val="clear" w:color="auto" w:fill="D9D9D9" w:themeFill="background1" w:themeFillShade="D9"/>
          </w:tcPr>
          <w:p w14:paraId="454971C4" w14:textId="77777777" w:rsidR="008F521F" w:rsidRPr="008F521F" w:rsidRDefault="008F521F" w:rsidP="00853B07">
            <w:pPr>
              <w:rPr>
                <w:b/>
                <w:bCs/>
                <w:sz w:val="18"/>
                <w:szCs w:val="18"/>
              </w:rPr>
            </w:pPr>
            <w:r w:rsidRPr="008F521F">
              <w:rPr>
                <w:b/>
                <w:bCs/>
                <w:sz w:val="18"/>
                <w:szCs w:val="18"/>
              </w:rPr>
              <w:t>Total comprehensive income</w:t>
            </w:r>
          </w:p>
        </w:tc>
        <w:tc>
          <w:tcPr>
            <w:tcW w:w="1057" w:type="dxa"/>
            <w:shd w:val="clear" w:color="auto" w:fill="D9D9D9" w:themeFill="background1" w:themeFillShade="D9"/>
          </w:tcPr>
          <w:p w14:paraId="2D9E3410" w14:textId="77777777" w:rsidR="008F521F" w:rsidRPr="008F521F" w:rsidRDefault="008F521F" w:rsidP="00500872">
            <w:pPr>
              <w:jc w:val="right"/>
              <w:rPr>
                <w:b/>
                <w:bCs/>
                <w:sz w:val="18"/>
                <w:szCs w:val="18"/>
              </w:rPr>
            </w:pPr>
            <w:r w:rsidRPr="008F521F">
              <w:rPr>
                <w:b/>
                <w:bCs/>
                <w:sz w:val="18"/>
                <w:szCs w:val="18"/>
              </w:rPr>
              <w:t xml:space="preserve"> 118,152 </w:t>
            </w:r>
          </w:p>
        </w:tc>
        <w:tc>
          <w:tcPr>
            <w:tcW w:w="1058" w:type="dxa"/>
            <w:shd w:val="clear" w:color="auto" w:fill="D9D9D9" w:themeFill="background1" w:themeFillShade="D9"/>
          </w:tcPr>
          <w:p w14:paraId="294004B5" w14:textId="77777777" w:rsidR="008F521F" w:rsidRPr="008F521F" w:rsidRDefault="008F521F" w:rsidP="00500872">
            <w:pPr>
              <w:jc w:val="right"/>
              <w:rPr>
                <w:b/>
                <w:bCs/>
                <w:sz w:val="18"/>
                <w:szCs w:val="18"/>
              </w:rPr>
            </w:pPr>
            <w:r w:rsidRPr="008F521F">
              <w:rPr>
                <w:b/>
                <w:bCs/>
                <w:sz w:val="18"/>
                <w:szCs w:val="18"/>
              </w:rPr>
              <w:t xml:space="preserve"> 190,857 </w:t>
            </w:r>
          </w:p>
        </w:tc>
        <w:tc>
          <w:tcPr>
            <w:tcW w:w="1057" w:type="dxa"/>
            <w:shd w:val="clear" w:color="auto" w:fill="D9D9D9" w:themeFill="background1" w:themeFillShade="D9"/>
          </w:tcPr>
          <w:p w14:paraId="180164C1" w14:textId="77777777" w:rsidR="008F521F" w:rsidRPr="008F521F" w:rsidRDefault="008F521F" w:rsidP="00500872">
            <w:pPr>
              <w:jc w:val="right"/>
              <w:rPr>
                <w:b/>
                <w:bCs/>
                <w:sz w:val="18"/>
                <w:szCs w:val="18"/>
              </w:rPr>
            </w:pPr>
            <w:r w:rsidRPr="008F521F">
              <w:rPr>
                <w:b/>
                <w:bCs/>
                <w:sz w:val="18"/>
                <w:szCs w:val="18"/>
              </w:rPr>
              <w:t xml:space="preserve"> 85,675 </w:t>
            </w:r>
          </w:p>
        </w:tc>
        <w:tc>
          <w:tcPr>
            <w:tcW w:w="1058" w:type="dxa"/>
            <w:shd w:val="clear" w:color="auto" w:fill="D9D9D9" w:themeFill="background1" w:themeFillShade="D9"/>
          </w:tcPr>
          <w:p w14:paraId="08830128" w14:textId="77777777" w:rsidR="008F521F" w:rsidRPr="008F521F" w:rsidRDefault="008F521F" w:rsidP="00500872">
            <w:pPr>
              <w:jc w:val="right"/>
              <w:rPr>
                <w:b/>
                <w:bCs/>
                <w:sz w:val="18"/>
                <w:szCs w:val="18"/>
              </w:rPr>
            </w:pPr>
            <w:r w:rsidRPr="008F521F">
              <w:rPr>
                <w:b/>
                <w:bCs/>
                <w:sz w:val="18"/>
                <w:szCs w:val="18"/>
              </w:rPr>
              <w:t xml:space="preserve"> 187,917 </w:t>
            </w:r>
          </w:p>
        </w:tc>
        <w:tc>
          <w:tcPr>
            <w:tcW w:w="1058" w:type="dxa"/>
            <w:shd w:val="clear" w:color="auto" w:fill="D9D9D9" w:themeFill="background1" w:themeFillShade="D9"/>
          </w:tcPr>
          <w:p w14:paraId="24D0021F" w14:textId="77777777" w:rsidR="008F521F" w:rsidRPr="008F521F" w:rsidRDefault="008F521F" w:rsidP="00500872">
            <w:pPr>
              <w:jc w:val="right"/>
              <w:rPr>
                <w:b/>
                <w:bCs/>
                <w:sz w:val="18"/>
                <w:szCs w:val="18"/>
              </w:rPr>
            </w:pPr>
            <w:r w:rsidRPr="008F521F">
              <w:rPr>
                <w:b/>
                <w:bCs/>
                <w:sz w:val="18"/>
                <w:szCs w:val="18"/>
              </w:rPr>
              <w:t xml:space="preserve"> 90,858 </w:t>
            </w:r>
          </w:p>
        </w:tc>
      </w:tr>
      <w:tr w:rsidR="008F521F" w:rsidRPr="009F247D" w14:paraId="595733C3" w14:textId="77777777" w:rsidTr="00853B07">
        <w:trPr>
          <w:cantSplit/>
          <w:trHeight w:val="15"/>
        </w:trPr>
        <w:tc>
          <w:tcPr>
            <w:tcW w:w="9252" w:type="dxa"/>
            <w:gridSpan w:val="6"/>
            <w:shd w:val="clear" w:color="auto" w:fill="FFFFFF" w:themeFill="background1"/>
          </w:tcPr>
          <w:p w14:paraId="7D73AA3F" w14:textId="77777777" w:rsidR="008F521F" w:rsidRPr="008F521F" w:rsidRDefault="008F521F" w:rsidP="00853B07">
            <w:pPr>
              <w:rPr>
                <w:sz w:val="18"/>
                <w:szCs w:val="18"/>
              </w:rPr>
            </w:pPr>
            <w:r w:rsidRPr="008F521F">
              <w:rPr>
                <w:sz w:val="18"/>
                <w:szCs w:val="18"/>
              </w:rPr>
              <w:t>Attributable to:</w:t>
            </w:r>
          </w:p>
        </w:tc>
      </w:tr>
      <w:tr w:rsidR="008F521F" w:rsidRPr="009F247D" w14:paraId="70F9D2CA" w14:textId="77777777" w:rsidTr="00853B07">
        <w:trPr>
          <w:cantSplit/>
          <w:trHeight w:val="15"/>
        </w:trPr>
        <w:tc>
          <w:tcPr>
            <w:tcW w:w="3964" w:type="dxa"/>
            <w:shd w:val="clear" w:color="auto" w:fill="FFFFFF" w:themeFill="background1"/>
          </w:tcPr>
          <w:p w14:paraId="0169A9DE" w14:textId="77777777" w:rsidR="008F521F" w:rsidRPr="008F521F" w:rsidRDefault="008F521F" w:rsidP="00853B07">
            <w:pPr>
              <w:rPr>
                <w:sz w:val="18"/>
                <w:szCs w:val="18"/>
              </w:rPr>
            </w:pPr>
            <w:r w:rsidRPr="008F521F">
              <w:rPr>
                <w:sz w:val="18"/>
                <w:szCs w:val="18"/>
              </w:rPr>
              <w:t>- Council</w:t>
            </w:r>
          </w:p>
        </w:tc>
        <w:tc>
          <w:tcPr>
            <w:tcW w:w="1057" w:type="dxa"/>
            <w:shd w:val="clear" w:color="auto" w:fill="FFFFFF" w:themeFill="background1"/>
          </w:tcPr>
          <w:p w14:paraId="4DA65DF3" w14:textId="77777777" w:rsidR="008F521F" w:rsidRPr="008F521F" w:rsidRDefault="008F521F" w:rsidP="00500872">
            <w:pPr>
              <w:jc w:val="right"/>
              <w:rPr>
                <w:sz w:val="18"/>
                <w:szCs w:val="18"/>
              </w:rPr>
            </w:pPr>
            <w:r w:rsidRPr="008F521F">
              <w:rPr>
                <w:sz w:val="18"/>
                <w:szCs w:val="18"/>
              </w:rPr>
              <w:t xml:space="preserve"> 118,152 </w:t>
            </w:r>
          </w:p>
        </w:tc>
        <w:tc>
          <w:tcPr>
            <w:tcW w:w="1058" w:type="dxa"/>
            <w:shd w:val="clear" w:color="auto" w:fill="FFFFFF" w:themeFill="background1"/>
          </w:tcPr>
          <w:p w14:paraId="026F04E1" w14:textId="77777777" w:rsidR="008F521F" w:rsidRPr="008F521F" w:rsidRDefault="008F521F" w:rsidP="00500872">
            <w:pPr>
              <w:jc w:val="right"/>
              <w:rPr>
                <w:sz w:val="18"/>
                <w:szCs w:val="18"/>
              </w:rPr>
            </w:pPr>
            <w:r w:rsidRPr="008F521F">
              <w:rPr>
                <w:sz w:val="18"/>
                <w:szCs w:val="18"/>
              </w:rPr>
              <w:t xml:space="preserve"> 190,857 </w:t>
            </w:r>
          </w:p>
        </w:tc>
        <w:tc>
          <w:tcPr>
            <w:tcW w:w="1057" w:type="dxa"/>
            <w:shd w:val="clear" w:color="auto" w:fill="FFFFFF" w:themeFill="background1"/>
          </w:tcPr>
          <w:p w14:paraId="781AE342" w14:textId="77777777" w:rsidR="008F521F" w:rsidRPr="008F521F" w:rsidRDefault="008F521F" w:rsidP="00500872">
            <w:pPr>
              <w:jc w:val="right"/>
              <w:rPr>
                <w:sz w:val="18"/>
                <w:szCs w:val="18"/>
              </w:rPr>
            </w:pPr>
            <w:r w:rsidRPr="008F521F">
              <w:rPr>
                <w:sz w:val="18"/>
                <w:szCs w:val="18"/>
              </w:rPr>
              <w:t xml:space="preserve"> 85,675 </w:t>
            </w:r>
          </w:p>
        </w:tc>
        <w:tc>
          <w:tcPr>
            <w:tcW w:w="1058" w:type="dxa"/>
            <w:shd w:val="clear" w:color="auto" w:fill="FFFFFF" w:themeFill="background1"/>
          </w:tcPr>
          <w:p w14:paraId="3A8D4BAC" w14:textId="77777777" w:rsidR="008F521F" w:rsidRPr="008F521F" w:rsidRDefault="008F521F" w:rsidP="00500872">
            <w:pPr>
              <w:jc w:val="right"/>
              <w:rPr>
                <w:sz w:val="18"/>
                <w:szCs w:val="18"/>
              </w:rPr>
            </w:pPr>
            <w:r w:rsidRPr="008F521F">
              <w:rPr>
                <w:sz w:val="18"/>
                <w:szCs w:val="18"/>
              </w:rPr>
              <w:t xml:space="preserve"> 166,508 </w:t>
            </w:r>
          </w:p>
        </w:tc>
        <w:tc>
          <w:tcPr>
            <w:tcW w:w="1058" w:type="dxa"/>
            <w:shd w:val="clear" w:color="auto" w:fill="FFFFFF" w:themeFill="background1"/>
          </w:tcPr>
          <w:p w14:paraId="599CD73B" w14:textId="77777777" w:rsidR="008F521F" w:rsidRPr="008F521F" w:rsidRDefault="008F521F" w:rsidP="00500872">
            <w:pPr>
              <w:jc w:val="right"/>
              <w:rPr>
                <w:sz w:val="18"/>
                <w:szCs w:val="18"/>
              </w:rPr>
            </w:pPr>
            <w:r w:rsidRPr="008F521F">
              <w:rPr>
                <w:sz w:val="18"/>
                <w:szCs w:val="18"/>
              </w:rPr>
              <w:t xml:space="preserve"> 86,774 </w:t>
            </w:r>
          </w:p>
        </w:tc>
      </w:tr>
      <w:tr w:rsidR="008F521F" w:rsidRPr="009F247D" w14:paraId="4677FA41" w14:textId="77777777" w:rsidTr="00853B07">
        <w:trPr>
          <w:cantSplit/>
          <w:trHeight w:val="15"/>
        </w:trPr>
        <w:tc>
          <w:tcPr>
            <w:tcW w:w="3964" w:type="dxa"/>
            <w:shd w:val="clear" w:color="auto" w:fill="FFFFFF" w:themeFill="background1"/>
          </w:tcPr>
          <w:p w14:paraId="3B187FDA" w14:textId="77777777" w:rsidR="008F521F" w:rsidRPr="008F521F" w:rsidRDefault="008F521F" w:rsidP="00853B07">
            <w:pPr>
              <w:rPr>
                <w:sz w:val="18"/>
                <w:szCs w:val="18"/>
              </w:rPr>
            </w:pPr>
            <w:r w:rsidRPr="008F521F">
              <w:rPr>
                <w:sz w:val="18"/>
                <w:szCs w:val="18"/>
              </w:rPr>
              <w:t>- Non-controlling interest</w:t>
            </w:r>
          </w:p>
        </w:tc>
        <w:tc>
          <w:tcPr>
            <w:tcW w:w="1057" w:type="dxa"/>
            <w:shd w:val="clear" w:color="auto" w:fill="FFFFFF" w:themeFill="background1"/>
          </w:tcPr>
          <w:p w14:paraId="35ED9A66" w14:textId="77777777" w:rsidR="008F521F" w:rsidRPr="008F521F" w:rsidRDefault="008F521F" w:rsidP="00500872">
            <w:pPr>
              <w:jc w:val="right"/>
              <w:rPr>
                <w:sz w:val="18"/>
                <w:szCs w:val="18"/>
              </w:rPr>
            </w:pPr>
            <w:r w:rsidRPr="008F521F">
              <w:rPr>
                <w:sz w:val="18"/>
                <w:szCs w:val="18"/>
              </w:rPr>
              <w:t xml:space="preserve"> -   </w:t>
            </w:r>
          </w:p>
        </w:tc>
        <w:tc>
          <w:tcPr>
            <w:tcW w:w="1058" w:type="dxa"/>
            <w:shd w:val="clear" w:color="auto" w:fill="FFFFFF" w:themeFill="background1"/>
          </w:tcPr>
          <w:p w14:paraId="77490A7A" w14:textId="77777777" w:rsidR="008F521F" w:rsidRPr="008F521F" w:rsidRDefault="008F521F" w:rsidP="00500872">
            <w:pPr>
              <w:jc w:val="right"/>
              <w:rPr>
                <w:sz w:val="18"/>
                <w:szCs w:val="18"/>
              </w:rPr>
            </w:pPr>
            <w:r w:rsidRPr="008F521F">
              <w:rPr>
                <w:sz w:val="18"/>
                <w:szCs w:val="18"/>
              </w:rPr>
              <w:t xml:space="preserve"> -   </w:t>
            </w:r>
          </w:p>
        </w:tc>
        <w:tc>
          <w:tcPr>
            <w:tcW w:w="1057" w:type="dxa"/>
            <w:shd w:val="clear" w:color="auto" w:fill="FFFFFF" w:themeFill="background1"/>
          </w:tcPr>
          <w:p w14:paraId="4823D8D7" w14:textId="77777777" w:rsidR="008F521F" w:rsidRPr="008F521F" w:rsidRDefault="008F521F" w:rsidP="00500872">
            <w:pPr>
              <w:jc w:val="right"/>
              <w:rPr>
                <w:sz w:val="18"/>
                <w:szCs w:val="18"/>
              </w:rPr>
            </w:pPr>
            <w:r w:rsidRPr="008F521F">
              <w:rPr>
                <w:sz w:val="18"/>
                <w:szCs w:val="18"/>
              </w:rPr>
              <w:t xml:space="preserve"> -   </w:t>
            </w:r>
          </w:p>
        </w:tc>
        <w:tc>
          <w:tcPr>
            <w:tcW w:w="1058" w:type="dxa"/>
            <w:shd w:val="clear" w:color="auto" w:fill="FFFFFF" w:themeFill="background1"/>
          </w:tcPr>
          <w:p w14:paraId="224286F3" w14:textId="77777777" w:rsidR="008F521F" w:rsidRPr="008F521F" w:rsidRDefault="008F521F" w:rsidP="00500872">
            <w:pPr>
              <w:jc w:val="right"/>
              <w:rPr>
                <w:sz w:val="18"/>
                <w:szCs w:val="18"/>
              </w:rPr>
            </w:pPr>
            <w:r w:rsidRPr="008F521F">
              <w:rPr>
                <w:sz w:val="18"/>
                <w:szCs w:val="18"/>
              </w:rPr>
              <w:t xml:space="preserve"> 21,409 </w:t>
            </w:r>
          </w:p>
        </w:tc>
        <w:tc>
          <w:tcPr>
            <w:tcW w:w="1058" w:type="dxa"/>
            <w:shd w:val="clear" w:color="auto" w:fill="FFFFFF" w:themeFill="background1"/>
          </w:tcPr>
          <w:p w14:paraId="6D3FDFC2" w14:textId="77777777" w:rsidR="008F521F" w:rsidRPr="008F521F" w:rsidRDefault="008F521F" w:rsidP="00500872">
            <w:pPr>
              <w:jc w:val="right"/>
              <w:rPr>
                <w:sz w:val="18"/>
                <w:szCs w:val="18"/>
              </w:rPr>
            </w:pPr>
            <w:r w:rsidRPr="008F521F">
              <w:rPr>
                <w:sz w:val="18"/>
                <w:szCs w:val="18"/>
              </w:rPr>
              <w:t xml:space="preserve"> 4,084 </w:t>
            </w:r>
          </w:p>
        </w:tc>
      </w:tr>
      <w:tr w:rsidR="008F521F" w:rsidRPr="009F247D" w14:paraId="10262CFB" w14:textId="77777777" w:rsidTr="00853B07">
        <w:trPr>
          <w:cantSplit/>
          <w:trHeight w:val="15"/>
        </w:trPr>
        <w:tc>
          <w:tcPr>
            <w:tcW w:w="3964" w:type="dxa"/>
            <w:shd w:val="clear" w:color="auto" w:fill="D9D9D9" w:themeFill="background1" w:themeFillShade="D9"/>
          </w:tcPr>
          <w:p w14:paraId="03C8754C" w14:textId="77777777" w:rsidR="008F521F" w:rsidRPr="008F521F" w:rsidRDefault="008F521F" w:rsidP="00853B07">
            <w:pPr>
              <w:rPr>
                <w:b/>
                <w:bCs/>
                <w:sz w:val="18"/>
                <w:szCs w:val="18"/>
              </w:rPr>
            </w:pPr>
          </w:p>
        </w:tc>
        <w:tc>
          <w:tcPr>
            <w:tcW w:w="1057" w:type="dxa"/>
            <w:shd w:val="clear" w:color="auto" w:fill="D9D9D9" w:themeFill="background1" w:themeFillShade="D9"/>
          </w:tcPr>
          <w:p w14:paraId="3C488461" w14:textId="77777777" w:rsidR="008F521F" w:rsidRPr="008F521F" w:rsidRDefault="008F521F" w:rsidP="00500872">
            <w:pPr>
              <w:jc w:val="right"/>
              <w:rPr>
                <w:b/>
                <w:bCs/>
                <w:sz w:val="18"/>
                <w:szCs w:val="18"/>
              </w:rPr>
            </w:pPr>
            <w:r w:rsidRPr="008F521F">
              <w:rPr>
                <w:b/>
                <w:bCs/>
                <w:sz w:val="18"/>
                <w:szCs w:val="18"/>
              </w:rPr>
              <w:t xml:space="preserve"> 118,152 </w:t>
            </w:r>
          </w:p>
        </w:tc>
        <w:tc>
          <w:tcPr>
            <w:tcW w:w="1058" w:type="dxa"/>
            <w:shd w:val="clear" w:color="auto" w:fill="D9D9D9" w:themeFill="background1" w:themeFillShade="D9"/>
          </w:tcPr>
          <w:p w14:paraId="450B57AD" w14:textId="77777777" w:rsidR="008F521F" w:rsidRPr="008F521F" w:rsidRDefault="008F521F" w:rsidP="00500872">
            <w:pPr>
              <w:jc w:val="right"/>
              <w:rPr>
                <w:b/>
                <w:bCs/>
                <w:sz w:val="18"/>
                <w:szCs w:val="18"/>
              </w:rPr>
            </w:pPr>
            <w:r w:rsidRPr="008F521F">
              <w:rPr>
                <w:b/>
                <w:bCs/>
                <w:sz w:val="18"/>
                <w:szCs w:val="18"/>
              </w:rPr>
              <w:t xml:space="preserve"> 190,857 </w:t>
            </w:r>
          </w:p>
        </w:tc>
        <w:tc>
          <w:tcPr>
            <w:tcW w:w="1057" w:type="dxa"/>
            <w:shd w:val="clear" w:color="auto" w:fill="D9D9D9" w:themeFill="background1" w:themeFillShade="D9"/>
          </w:tcPr>
          <w:p w14:paraId="5F2F6AE7" w14:textId="77777777" w:rsidR="008F521F" w:rsidRPr="008F521F" w:rsidRDefault="008F521F" w:rsidP="00500872">
            <w:pPr>
              <w:jc w:val="right"/>
              <w:rPr>
                <w:b/>
                <w:bCs/>
                <w:sz w:val="18"/>
                <w:szCs w:val="18"/>
              </w:rPr>
            </w:pPr>
            <w:r w:rsidRPr="008F521F">
              <w:rPr>
                <w:b/>
                <w:bCs/>
                <w:sz w:val="18"/>
                <w:szCs w:val="18"/>
              </w:rPr>
              <w:t xml:space="preserve"> 85,675 </w:t>
            </w:r>
          </w:p>
        </w:tc>
        <w:tc>
          <w:tcPr>
            <w:tcW w:w="1058" w:type="dxa"/>
            <w:shd w:val="clear" w:color="auto" w:fill="D9D9D9" w:themeFill="background1" w:themeFillShade="D9"/>
          </w:tcPr>
          <w:p w14:paraId="3924FEB4" w14:textId="77777777" w:rsidR="008F521F" w:rsidRPr="008F521F" w:rsidRDefault="008F521F" w:rsidP="00500872">
            <w:pPr>
              <w:jc w:val="right"/>
              <w:rPr>
                <w:b/>
                <w:bCs/>
                <w:sz w:val="18"/>
                <w:szCs w:val="18"/>
              </w:rPr>
            </w:pPr>
            <w:r w:rsidRPr="008F521F">
              <w:rPr>
                <w:b/>
                <w:bCs/>
                <w:sz w:val="18"/>
                <w:szCs w:val="18"/>
              </w:rPr>
              <w:t xml:space="preserve"> 187,917 </w:t>
            </w:r>
          </w:p>
        </w:tc>
        <w:tc>
          <w:tcPr>
            <w:tcW w:w="1058" w:type="dxa"/>
            <w:shd w:val="clear" w:color="auto" w:fill="D9D9D9" w:themeFill="background1" w:themeFillShade="D9"/>
          </w:tcPr>
          <w:p w14:paraId="5B4C109D" w14:textId="77777777" w:rsidR="008F521F" w:rsidRPr="008F521F" w:rsidRDefault="008F521F" w:rsidP="00500872">
            <w:pPr>
              <w:jc w:val="right"/>
              <w:rPr>
                <w:b/>
                <w:bCs/>
                <w:sz w:val="18"/>
                <w:szCs w:val="18"/>
              </w:rPr>
            </w:pPr>
            <w:r w:rsidRPr="008F521F">
              <w:rPr>
                <w:b/>
                <w:bCs/>
                <w:sz w:val="18"/>
                <w:szCs w:val="18"/>
              </w:rPr>
              <w:t xml:space="preserve"> 90,858 </w:t>
            </w:r>
          </w:p>
        </w:tc>
      </w:tr>
    </w:tbl>
    <w:p w14:paraId="098DAF85" w14:textId="77777777" w:rsidR="009D2B3D" w:rsidRDefault="009D2B3D" w:rsidP="008F521F">
      <w:pPr>
        <w:rPr>
          <w:color w:val="000000" w:themeColor="text1"/>
          <w:sz w:val="18"/>
          <w:szCs w:val="18"/>
          <w:lang w:val="en-GB"/>
        </w:rPr>
      </w:pPr>
      <w:r w:rsidRPr="009D2B3D">
        <w:rPr>
          <w:color w:val="000000" w:themeColor="text1"/>
          <w:sz w:val="18"/>
          <w:szCs w:val="18"/>
          <w:lang w:val="en-GB"/>
        </w:rPr>
        <w:t>(</w:t>
      </w:r>
      <w:proofErr w:type="spellStart"/>
      <w:r w:rsidRPr="009D2B3D">
        <w:rPr>
          <w:color w:val="000000" w:themeColor="text1"/>
          <w:sz w:val="18"/>
          <w:szCs w:val="18"/>
          <w:lang w:val="en-GB"/>
        </w:rPr>
        <w:t>i</w:t>
      </w:r>
      <w:proofErr w:type="spellEnd"/>
      <w:r w:rsidRPr="009D2B3D">
        <w:rPr>
          <w:color w:val="000000" w:themeColor="text1"/>
          <w:sz w:val="18"/>
          <w:szCs w:val="18"/>
          <w:lang w:val="en-GB"/>
        </w:rPr>
        <w:t xml:space="preserve">) Refer to the notes to the summary financial statements on page </w:t>
      </w:r>
      <w:r w:rsidRPr="009D2B3D">
        <w:rPr>
          <w:color w:val="000000" w:themeColor="text1"/>
          <w:sz w:val="18"/>
          <w:szCs w:val="18"/>
          <w:lang w:val="en-GB"/>
        </w:rPr>
        <w:fldChar w:fldCharType="begin"/>
      </w:r>
      <w:r w:rsidRPr="009D2B3D">
        <w:rPr>
          <w:color w:val="000000" w:themeColor="text1"/>
          <w:sz w:val="18"/>
          <w:szCs w:val="18"/>
          <w:lang w:val="en-GB"/>
        </w:rPr>
        <w:instrText xml:space="preserve"> PAGEREF _Ref211422053 \h </w:instrText>
      </w:r>
      <w:r w:rsidRPr="009D2B3D">
        <w:rPr>
          <w:color w:val="000000" w:themeColor="text1"/>
          <w:sz w:val="18"/>
          <w:szCs w:val="18"/>
          <w:lang w:val="en-GB"/>
        </w:rPr>
      </w:r>
      <w:r w:rsidRPr="009D2B3D">
        <w:rPr>
          <w:color w:val="000000" w:themeColor="text1"/>
          <w:sz w:val="18"/>
          <w:szCs w:val="18"/>
          <w:lang w:val="en-GB"/>
        </w:rPr>
        <w:fldChar w:fldCharType="separate"/>
      </w:r>
      <w:r w:rsidRPr="009D2B3D">
        <w:rPr>
          <w:noProof/>
          <w:color w:val="000000" w:themeColor="text1"/>
          <w:sz w:val="18"/>
          <w:szCs w:val="18"/>
          <w:lang w:val="en-GB"/>
        </w:rPr>
        <w:t>58</w:t>
      </w:r>
      <w:r w:rsidRPr="009D2B3D">
        <w:rPr>
          <w:color w:val="000000" w:themeColor="text1"/>
          <w:sz w:val="18"/>
          <w:szCs w:val="18"/>
          <w:lang w:val="en-GB"/>
        </w:rPr>
        <w:fldChar w:fldCharType="end"/>
      </w:r>
      <w:r w:rsidRPr="009D2B3D">
        <w:rPr>
          <w:color w:val="000000" w:themeColor="text1"/>
          <w:sz w:val="18"/>
          <w:szCs w:val="18"/>
          <w:lang w:val="en-GB"/>
        </w:rPr>
        <w:t>.</w:t>
      </w:r>
    </w:p>
    <w:p w14:paraId="26B8CA70" w14:textId="23C64D3C" w:rsidR="008F521F" w:rsidRPr="009D2B3D" w:rsidRDefault="008F521F" w:rsidP="008F521F">
      <w:pPr>
        <w:rPr>
          <w:color w:val="000000" w:themeColor="text1"/>
          <w:sz w:val="18"/>
          <w:szCs w:val="18"/>
          <w:lang w:val="en-GB"/>
        </w:rPr>
      </w:pPr>
      <w:r>
        <w:rPr>
          <w:sz w:val="24"/>
          <w:szCs w:val="24"/>
          <w:lang w:val="en-GB"/>
        </w:rPr>
        <w:br w:type="page"/>
      </w:r>
    </w:p>
    <w:p w14:paraId="1A3AE56F" w14:textId="23114CE7" w:rsidR="008F521F" w:rsidRDefault="008F521F" w:rsidP="008F521F">
      <w:pPr>
        <w:pStyle w:val="Heading2"/>
        <w:rPr>
          <w:rFonts w:asciiTheme="minorHAnsi" w:eastAsiaTheme="minorHAnsi" w:hAnsiTheme="minorHAnsi" w:cstheme="minorBidi"/>
          <w:b/>
          <w:bCs/>
          <w:color w:val="auto"/>
          <w:sz w:val="18"/>
          <w:szCs w:val="18"/>
          <w:lang w:val="en-US"/>
        </w:rPr>
      </w:pPr>
      <w:bookmarkStart w:id="58" w:name="_Toc211422670"/>
      <w:r w:rsidRPr="008F521F">
        <w:rPr>
          <w:lang w:val="en-GB"/>
        </w:rPr>
        <w:t>Summary Statement of Financial Position</w:t>
      </w:r>
      <w:bookmarkEnd w:id="58"/>
    </w:p>
    <w:tbl>
      <w:tblPr>
        <w:tblStyle w:val="TableGrid"/>
        <w:tblW w:w="9252" w:type="dxa"/>
        <w:tblLayout w:type="fixed"/>
        <w:tblCellMar>
          <w:top w:w="115" w:type="dxa"/>
          <w:bottom w:w="115" w:type="dxa"/>
        </w:tblCellMar>
        <w:tblLook w:val="04A0" w:firstRow="1" w:lastRow="0" w:firstColumn="1" w:lastColumn="0" w:noHBand="0" w:noVBand="1"/>
      </w:tblPr>
      <w:tblGrid>
        <w:gridCol w:w="3964"/>
        <w:gridCol w:w="1057"/>
        <w:gridCol w:w="1058"/>
        <w:gridCol w:w="1057"/>
        <w:gridCol w:w="1058"/>
        <w:gridCol w:w="1058"/>
      </w:tblGrid>
      <w:tr w:rsidR="00500872" w:rsidRPr="00FD3138" w14:paraId="030DDC98" w14:textId="77777777" w:rsidTr="00853B07">
        <w:trPr>
          <w:cantSplit/>
        </w:trPr>
        <w:tc>
          <w:tcPr>
            <w:tcW w:w="3964" w:type="dxa"/>
            <w:shd w:val="clear" w:color="auto" w:fill="BFBFBF" w:themeFill="background1" w:themeFillShade="BF"/>
          </w:tcPr>
          <w:p w14:paraId="0408B0AC" w14:textId="053BD918" w:rsidR="00500872" w:rsidRPr="00500872" w:rsidRDefault="00500872" w:rsidP="00500872">
            <w:pPr>
              <w:rPr>
                <w:b/>
                <w:bCs/>
                <w:sz w:val="18"/>
                <w:szCs w:val="18"/>
                <w:lang w:val="en-US"/>
              </w:rPr>
            </w:pPr>
            <w:r w:rsidRPr="00500872">
              <w:rPr>
                <w:b/>
                <w:bCs/>
                <w:sz w:val="18"/>
                <w:szCs w:val="18"/>
                <w:lang w:val="en-US"/>
              </w:rPr>
              <w:t xml:space="preserve">As </w:t>
            </w:r>
            <w:proofErr w:type="gramStart"/>
            <w:r w:rsidRPr="00500872">
              <w:rPr>
                <w:b/>
                <w:bCs/>
                <w:sz w:val="18"/>
                <w:szCs w:val="18"/>
                <w:lang w:val="en-US"/>
              </w:rPr>
              <w:t>at</w:t>
            </w:r>
            <w:proofErr w:type="gramEnd"/>
            <w:r w:rsidRPr="00500872">
              <w:rPr>
                <w:b/>
                <w:bCs/>
                <w:sz w:val="18"/>
                <w:szCs w:val="18"/>
                <w:lang w:val="en-US"/>
              </w:rPr>
              <w:t xml:space="preserve"> 30 June 202</w:t>
            </w:r>
            <w:r w:rsidRPr="00500872">
              <w:rPr>
                <w:b/>
                <w:bCs/>
                <w:sz w:val="18"/>
                <w:szCs w:val="18"/>
                <w:lang w:val="en-US"/>
              </w:rPr>
              <w:t>5</w:t>
            </w:r>
          </w:p>
        </w:tc>
        <w:tc>
          <w:tcPr>
            <w:tcW w:w="1057" w:type="dxa"/>
            <w:shd w:val="clear" w:color="auto" w:fill="BFBFBF" w:themeFill="background1" w:themeFillShade="BF"/>
          </w:tcPr>
          <w:p w14:paraId="6E20B67E" w14:textId="77777777" w:rsidR="00500872" w:rsidRPr="00500872" w:rsidRDefault="00500872" w:rsidP="00500872">
            <w:pPr>
              <w:rPr>
                <w:b/>
                <w:bCs/>
                <w:sz w:val="18"/>
                <w:szCs w:val="18"/>
                <w:lang w:val="en-US"/>
              </w:rPr>
            </w:pPr>
            <w:r w:rsidRPr="00500872">
              <w:rPr>
                <w:b/>
                <w:bCs/>
                <w:sz w:val="18"/>
                <w:szCs w:val="18"/>
                <w:lang w:val="en-US"/>
              </w:rPr>
              <w:t>Council</w:t>
            </w:r>
          </w:p>
          <w:p w14:paraId="7805E633" w14:textId="77777777" w:rsidR="00500872" w:rsidRPr="00500872" w:rsidRDefault="00500872" w:rsidP="00500872">
            <w:pPr>
              <w:rPr>
                <w:b/>
                <w:bCs/>
                <w:sz w:val="18"/>
                <w:szCs w:val="18"/>
                <w:lang w:val="en-US"/>
              </w:rPr>
            </w:pPr>
            <w:r w:rsidRPr="00500872">
              <w:rPr>
                <w:b/>
                <w:bCs/>
                <w:sz w:val="18"/>
                <w:szCs w:val="18"/>
                <w:lang w:val="en-US"/>
              </w:rPr>
              <w:t>2025</w:t>
            </w:r>
          </w:p>
          <w:p w14:paraId="7AE7916F" w14:textId="155D180F" w:rsidR="00500872" w:rsidRPr="00500872" w:rsidRDefault="00500872" w:rsidP="00500872">
            <w:pPr>
              <w:rPr>
                <w:b/>
                <w:bCs/>
                <w:sz w:val="18"/>
                <w:szCs w:val="18"/>
                <w:lang w:val="en-US"/>
              </w:rPr>
            </w:pPr>
            <w:r w:rsidRPr="00500872">
              <w:rPr>
                <w:b/>
                <w:bCs/>
                <w:sz w:val="18"/>
                <w:szCs w:val="18"/>
                <w:lang w:val="en-US"/>
              </w:rPr>
              <w:t>$’000</w:t>
            </w:r>
          </w:p>
        </w:tc>
        <w:tc>
          <w:tcPr>
            <w:tcW w:w="1058" w:type="dxa"/>
            <w:shd w:val="clear" w:color="auto" w:fill="BFBFBF" w:themeFill="background1" w:themeFillShade="BF"/>
          </w:tcPr>
          <w:p w14:paraId="11120F7F" w14:textId="77777777" w:rsidR="00500872" w:rsidRPr="00500872" w:rsidRDefault="00500872" w:rsidP="00500872">
            <w:pPr>
              <w:rPr>
                <w:b/>
                <w:bCs/>
                <w:sz w:val="18"/>
                <w:szCs w:val="18"/>
                <w:lang w:val="en-US"/>
              </w:rPr>
            </w:pPr>
            <w:r w:rsidRPr="00500872">
              <w:rPr>
                <w:b/>
                <w:bCs/>
                <w:sz w:val="18"/>
                <w:szCs w:val="18"/>
                <w:lang w:val="en-US"/>
              </w:rPr>
              <w:t>Council</w:t>
            </w:r>
          </w:p>
          <w:p w14:paraId="7CE932F4" w14:textId="77777777" w:rsidR="00500872" w:rsidRPr="00500872" w:rsidRDefault="00500872" w:rsidP="00500872">
            <w:pPr>
              <w:rPr>
                <w:b/>
                <w:bCs/>
                <w:sz w:val="18"/>
                <w:szCs w:val="18"/>
                <w:lang w:val="en-US"/>
              </w:rPr>
            </w:pPr>
            <w:r w:rsidRPr="00500872">
              <w:rPr>
                <w:b/>
                <w:bCs/>
                <w:sz w:val="18"/>
                <w:szCs w:val="18"/>
                <w:lang w:val="en-US"/>
              </w:rPr>
              <w:t>Budget</w:t>
            </w:r>
          </w:p>
          <w:p w14:paraId="06B801CD" w14:textId="1954C735" w:rsidR="00500872" w:rsidRPr="00500872" w:rsidRDefault="00500872" w:rsidP="00500872">
            <w:pPr>
              <w:rPr>
                <w:b/>
                <w:bCs/>
                <w:sz w:val="18"/>
                <w:szCs w:val="18"/>
                <w:lang w:val="en-US"/>
              </w:rPr>
            </w:pPr>
            <w:r w:rsidRPr="00500872">
              <w:rPr>
                <w:b/>
                <w:bCs/>
                <w:sz w:val="18"/>
                <w:szCs w:val="18"/>
                <w:lang w:val="en-US"/>
              </w:rPr>
              <w:t>$’000</w:t>
            </w:r>
          </w:p>
        </w:tc>
        <w:tc>
          <w:tcPr>
            <w:tcW w:w="1057" w:type="dxa"/>
            <w:shd w:val="clear" w:color="auto" w:fill="BFBFBF" w:themeFill="background1" w:themeFillShade="BF"/>
          </w:tcPr>
          <w:p w14:paraId="79D6F86C" w14:textId="77777777" w:rsidR="00500872" w:rsidRPr="00500872" w:rsidRDefault="00500872" w:rsidP="00500872">
            <w:pPr>
              <w:rPr>
                <w:b/>
                <w:bCs/>
                <w:sz w:val="18"/>
                <w:szCs w:val="18"/>
                <w:lang w:val="en-US"/>
              </w:rPr>
            </w:pPr>
            <w:r w:rsidRPr="00500872">
              <w:rPr>
                <w:b/>
                <w:bCs/>
                <w:sz w:val="18"/>
                <w:szCs w:val="18"/>
                <w:lang w:val="en-US"/>
              </w:rPr>
              <w:t>Council</w:t>
            </w:r>
          </w:p>
          <w:p w14:paraId="3A329EBB" w14:textId="47055346" w:rsidR="00500872" w:rsidRPr="00500872" w:rsidRDefault="00500872" w:rsidP="00500872">
            <w:pPr>
              <w:rPr>
                <w:b/>
                <w:bCs/>
                <w:sz w:val="18"/>
                <w:szCs w:val="18"/>
                <w:lang w:val="en-US"/>
              </w:rPr>
            </w:pPr>
            <w:r w:rsidRPr="00500872">
              <w:rPr>
                <w:b/>
                <w:bCs/>
                <w:sz w:val="18"/>
                <w:szCs w:val="18"/>
                <w:lang w:val="en-US"/>
              </w:rPr>
              <w:t>2024 Restated (</w:t>
            </w:r>
            <w:proofErr w:type="spellStart"/>
            <w:r w:rsidRPr="00500872">
              <w:rPr>
                <w:b/>
                <w:bCs/>
                <w:sz w:val="18"/>
                <w:szCs w:val="18"/>
                <w:lang w:val="en-US"/>
              </w:rPr>
              <w:t>i</w:t>
            </w:r>
            <w:proofErr w:type="spellEnd"/>
            <w:r w:rsidRPr="00500872">
              <w:rPr>
                <w:b/>
                <w:bCs/>
                <w:sz w:val="18"/>
                <w:szCs w:val="18"/>
                <w:lang w:val="en-US"/>
              </w:rPr>
              <w:t>) $’000</w:t>
            </w:r>
          </w:p>
        </w:tc>
        <w:tc>
          <w:tcPr>
            <w:tcW w:w="1058" w:type="dxa"/>
            <w:shd w:val="clear" w:color="auto" w:fill="BFBFBF" w:themeFill="background1" w:themeFillShade="BF"/>
          </w:tcPr>
          <w:p w14:paraId="0ABF8E69" w14:textId="77777777" w:rsidR="00500872" w:rsidRPr="00500872" w:rsidRDefault="00500872" w:rsidP="00500872">
            <w:pPr>
              <w:rPr>
                <w:b/>
                <w:bCs/>
                <w:sz w:val="18"/>
                <w:szCs w:val="18"/>
                <w:lang w:val="en-US"/>
              </w:rPr>
            </w:pPr>
            <w:r w:rsidRPr="00500872">
              <w:rPr>
                <w:b/>
                <w:bCs/>
                <w:sz w:val="18"/>
                <w:szCs w:val="18"/>
                <w:lang w:val="en-US"/>
              </w:rPr>
              <w:t>Group</w:t>
            </w:r>
          </w:p>
          <w:p w14:paraId="71C70AB6" w14:textId="77777777" w:rsidR="00500872" w:rsidRPr="00500872" w:rsidRDefault="00500872" w:rsidP="00500872">
            <w:pPr>
              <w:rPr>
                <w:b/>
                <w:bCs/>
                <w:sz w:val="18"/>
                <w:szCs w:val="18"/>
                <w:lang w:val="en-US"/>
              </w:rPr>
            </w:pPr>
            <w:r w:rsidRPr="00500872">
              <w:rPr>
                <w:b/>
                <w:bCs/>
                <w:sz w:val="18"/>
                <w:szCs w:val="18"/>
                <w:lang w:val="en-US"/>
              </w:rPr>
              <w:t>2025</w:t>
            </w:r>
          </w:p>
          <w:p w14:paraId="5628DA9A" w14:textId="7BF2EDA3" w:rsidR="00500872" w:rsidRPr="00500872" w:rsidRDefault="00500872" w:rsidP="00500872">
            <w:pPr>
              <w:rPr>
                <w:b/>
                <w:bCs/>
                <w:sz w:val="18"/>
                <w:szCs w:val="18"/>
                <w:lang w:val="en-US"/>
              </w:rPr>
            </w:pPr>
            <w:r w:rsidRPr="00500872">
              <w:rPr>
                <w:b/>
                <w:bCs/>
                <w:sz w:val="18"/>
                <w:szCs w:val="18"/>
                <w:lang w:val="en-US"/>
              </w:rPr>
              <w:t>$’000</w:t>
            </w:r>
          </w:p>
        </w:tc>
        <w:tc>
          <w:tcPr>
            <w:tcW w:w="1058" w:type="dxa"/>
            <w:shd w:val="clear" w:color="auto" w:fill="BFBFBF" w:themeFill="background1" w:themeFillShade="BF"/>
          </w:tcPr>
          <w:p w14:paraId="01CC9D50" w14:textId="77777777" w:rsidR="00500872" w:rsidRPr="00500872" w:rsidRDefault="00500872" w:rsidP="00500872">
            <w:pPr>
              <w:rPr>
                <w:b/>
                <w:bCs/>
                <w:sz w:val="18"/>
                <w:szCs w:val="18"/>
                <w:lang w:val="en-US"/>
              </w:rPr>
            </w:pPr>
            <w:r w:rsidRPr="00500872">
              <w:rPr>
                <w:b/>
                <w:bCs/>
                <w:sz w:val="18"/>
                <w:szCs w:val="18"/>
                <w:lang w:val="en-US"/>
              </w:rPr>
              <w:t>Group</w:t>
            </w:r>
          </w:p>
          <w:p w14:paraId="38F751E7" w14:textId="21BBC741" w:rsidR="00500872" w:rsidRPr="00500872" w:rsidRDefault="00500872" w:rsidP="00500872">
            <w:pPr>
              <w:rPr>
                <w:b/>
                <w:bCs/>
                <w:sz w:val="18"/>
                <w:szCs w:val="18"/>
                <w:lang w:val="en-US"/>
              </w:rPr>
            </w:pPr>
            <w:r w:rsidRPr="00500872">
              <w:rPr>
                <w:b/>
                <w:bCs/>
                <w:sz w:val="18"/>
                <w:szCs w:val="18"/>
                <w:lang w:val="en-US"/>
              </w:rPr>
              <w:t>2024 Restated (</w:t>
            </w:r>
            <w:proofErr w:type="spellStart"/>
            <w:r w:rsidRPr="00500872">
              <w:rPr>
                <w:b/>
                <w:bCs/>
                <w:sz w:val="18"/>
                <w:szCs w:val="18"/>
                <w:lang w:val="en-US"/>
              </w:rPr>
              <w:t>i</w:t>
            </w:r>
            <w:proofErr w:type="spellEnd"/>
            <w:r w:rsidRPr="00500872">
              <w:rPr>
                <w:b/>
                <w:bCs/>
                <w:sz w:val="18"/>
                <w:szCs w:val="18"/>
                <w:lang w:val="en-US"/>
              </w:rPr>
              <w:t>) $’000</w:t>
            </w:r>
          </w:p>
        </w:tc>
      </w:tr>
      <w:tr w:rsidR="00500872" w:rsidRPr="001662A9" w14:paraId="76F749E1" w14:textId="77777777" w:rsidTr="00853B07">
        <w:trPr>
          <w:cantSplit/>
          <w:trHeight w:val="15"/>
        </w:trPr>
        <w:tc>
          <w:tcPr>
            <w:tcW w:w="3964" w:type="dxa"/>
            <w:shd w:val="clear" w:color="auto" w:fill="FFFFFF" w:themeFill="background1"/>
          </w:tcPr>
          <w:p w14:paraId="45D4663F" w14:textId="77777777" w:rsidR="00500872" w:rsidRPr="00500872" w:rsidRDefault="00500872" w:rsidP="00500872">
            <w:pPr>
              <w:rPr>
                <w:sz w:val="18"/>
                <w:szCs w:val="18"/>
              </w:rPr>
            </w:pPr>
            <w:r w:rsidRPr="00500872">
              <w:rPr>
                <w:sz w:val="18"/>
                <w:szCs w:val="18"/>
              </w:rPr>
              <w:t>Total current assets</w:t>
            </w:r>
          </w:p>
        </w:tc>
        <w:tc>
          <w:tcPr>
            <w:tcW w:w="1057" w:type="dxa"/>
            <w:shd w:val="clear" w:color="auto" w:fill="FFFFFF" w:themeFill="background1"/>
          </w:tcPr>
          <w:p w14:paraId="00634D1E" w14:textId="1048CC78" w:rsidR="00500872" w:rsidRPr="00500872" w:rsidRDefault="00500872" w:rsidP="00500872">
            <w:pPr>
              <w:jc w:val="right"/>
              <w:rPr>
                <w:sz w:val="18"/>
                <w:szCs w:val="18"/>
              </w:rPr>
            </w:pPr>
            <w:r w:rsidRPr="00500872">
              <w:rPr>
                <w:sz w:val="18"/>
                <w:szCs w:val="18"/>
              </w:rPr>
              <w:t xml:space="preserve"> 50,567 </w:t>
            </w:r>
          </w:p>
        </w:tc>
        <w:tc>
          <w:tcPr>
            <w:tcW w:w="1058" w:type="dxa"/>
            <w:shd w:val="clear" w:color="auto" w:fill="FFFFFF" w:themeFill="background1"/>
          </w:tcPr>
          <w:p w14:paraId="7C92344A" w14:textId="3FD09941" w:rsidR="00500872" w:rsidRPr="00500872" w:rsidRDefault="00500872" w:rsidP="00500872">
            <w:pPr>
              <w:jc w:val="right"/>
              <w:rPr>
                <w:sz w:val="18"/>
                <w:szCs w:val="18"/>
              </w:rPr>
            </w:pPr>
            <w:r w:rsidRPr="00500872">
              <w:rPr>
                <w:sz w:val="18"/>
                <w:szCs w:val="18"/>
              </w:rPr>
              <w:t xml:space="preserve"> 46,842 </w:t>
            </w:r>
          </w:p>
        </w:tc>
        <w:tc>
          <w:tcPr>
            <w:tcW w:w="1057" w:type="dxa"/>
            <w:shd w:val="clear" w:color="auto" w:fill="FFFFFF" w:themeFill="background1"/>
          </w:tcPr>
          <w:p w14:paraId="0FECE429" w14:textId="0DD96291" w:rsidR="00500872" w:rsidRPr="00500872" w:rsidRDefault="00500872" w:rsidP="00500872">
            <w:pPr>
              <w:jc w:val="right"/>
              <w:rPr>
                <w:sz w:val="18"/>
                <w:szCs w:val="18"/>
              </w:rPr>
            </w:pPr>
            <w:r w:rsidRPr="00500872">
              <w:rPr>
                <w:sz w:val="18"/>
                <w:szCs w:val="18"/>
              </w:rPr>
              <w:t xml:space="preserve"> 65,086 </w:t>
            </w:r>
          </w:p>
        </w:tc>
        <w:tc>
          <w:tcPr>
            <w:tcW w:w="1058" w:type="dxa"/>
            <w:shd w:val="clear" w:color="auto" w:fill="FFFFFF" w:themeFill="background1"/>
          </w:tcPr>
          <w:p w14:paraId="0DF9C2B4" w14:textId="112F4C78" w:rsidR="00500872" w:rsidRPr="00500872" w:rsidRDefault="00500872" w:rsidP="00500872">
            <w:pPr>
              <w:jc w:val="right"/>
              <w:rPr>
                <w:sz w:val="18"/>
                <w:szCs w:val="18"/>
              </w:rPr>
            </w:pPr>
            <w:r w:rsidRPr="00500872">
              <w:rPr>
                <w:sz w:val="18"/>
                <w:szCs w:val="18"/>
              </w:rPr>
              <w:t xml:space="preserve"> 56,375 </w:t>
            </w:r>
          </w:p>
        </w:tc>
        <w:tc>
          <w:tcPr>
            <w:tcW w:w="1058" w:type="dxa"/>
            <w:shd w:val="clear" w:color="auto" w:fill="FFFFFF" w:themeFill="background1"/>
          </w:tcPr>
          <w:p w14:paraId="41AF23A5" w14:textId="201A66F7" w:rsidR="00500872" w:rsidRPr="00500872" w:rsidRDefault="00500872" w:rsidP="00500872">
            <w:pPr>
              <w:jc w:val="right"/>
              <w:rPr>
                <w:sz w:val="18"/>
                <w:szCs w:val="18"/>
              </w:rPr>
            </w:pPr>
            <w:r w:rsidRPr="00500872">
              <w:rPr>
                <w:sz w:val="18"/>
                <w:szCs w:val="18"/>
              </w:rPr>
              <w:t xml:space="preserve"> 71,573 </w:t>
            </w:r>
          </w:p>
        </w:tc>
      </w:tr>
      <w:tr w:rsidR="00500872" w:rsidRPr="001662A9" w14:paraId="645D728C" w14:textId="77777777" w:rsidTr="00853B07">
        <w:trPr>
          <w:cantSplit/>
          <w:trHeight w:val="15"/>
        </w:trPr>
        <w:tc>
          <w:tcPr>
            <w:tcW w:w="3964" w:type="dxa"/>
            <w:shd w:val="clear" w:color="auto" w:fill="FFFFFF" w:themeFill="background1"/>
          </w:tcPr>
          <w:p w14:paraId="07DA2DE2" w14:textId="77777777" w:rsidR="00500872" w:rsidRPr="00500872" w:rsidRDefault="00500872" w:rsidP="00500872">
            <w:pPr>
              <w:rPr>
                <w:sz w:val="18"/>
                <w:szCs w:val="18"/>
              </w:rPr>
            </w:pPr>
            <w:r w:rsidRPr="00500872">
              <w:rPr>
                <w:sz w:val="18"/>
                <w:szCs w:val="18"/>
              </w:rPr>
              <w:t>Total non-current assets</w:t>
            </w:r>
          </w:p>
        </w:tc>
        <w:tc>
          <w:tcPr>
            <w:tcW w:w="1057" w:type="dxa"/>
            <w:shd w:val="clear" w:color="auto" w:fill="FFFFFF" w:themeFill="background1"/>
          </w:tcPr>
          <w:p w14:paraId="581EF55E" w14:textId="29EEAD13" w:rsidR="00500872" w:rsidRPr="00500872" w:rsidRDefault="00500872" w:rsidP="00500872">
            <w:pPr>
              <w:jc w:val="right"/>
              <w:rPr>
                <w:sz w:val="18"/>
                <w:szCs w:val="18"/>
              </w:rPr>
            </w:pPr>
            <w:r w:rsidRPr="00500872">
              <w:rPr>
                <w:sz w:val="18"/>
                <w:szCs w:val="18"/>
              </w:rPr>
              <w:t xml:space="preserve"> 3,369,863 </w:t>
            </w:r>
          </w:p>
        </w:tc>
        <w:tc>
          <w:tcPr>
            <w:tcW w:w="1058" w:type="dxa"/>
            <w:shd w:val="clear" w:color="auto" w:fill="FFFFFF" w:themeFill="background1"/>
          </w:tcPr>
          <w:p w14:paraId="36B7EED1" w14:textId="755A1861" w:rsidR="00500872" w:rsidRPr="00500872" w:rsidRDefault="00500872" w:rsidP="00500872">
            <w:pPr>
              <w:jc w:val="right"/>
              <w:rPr>
                <w:sz w:val="18"/>
                <w:szCs w:val="18"/>
              </w:rPr>
            </w:pPr>
            <w:r w:rsidRPr="00500872">
              <w:rPr>
                <w:sz w:val="18"/>
                <w:szCs w:val="18"/>
              </w:rPr>
              <w:t xml:space="preserve"> 3,546,302 </w:t>
            </w:r>
          </w:p>
        </w:tc>
        <w:tc>
          <w:tcPr>
            <w:tcW w:w="1057" w:type="dxa"/>
            <w:shd w:val="clear" w:color="auto" w:fill="FFFFFF" w:themeFill="background1"/>
          </w:tcPr>
          <w:p w14:paraId="49518F55" w14:textId="18934D1D" w:rsidR="00500872" w:rsidRPr="00500872" w:rsidRDefault="00500872" w:rsidP="00500872">
            <w:pPr>
              <w:jc w:val="right"/>
              <w:rPr>
                <w:sz w:val="18"/>
                <w:szCs w:val="18"/>
              </w:rPr>
            </w:pPr>
            <w:r w:rsidRPr="00500872">
              <w:rPr>
                <w:sz w:val="18"/>
                <w:szCs w:val="18"/>
              </w:rPr>
              <w:t xml:space="preserve"> 3,182,983 </w:t>
            </w:r>
          </w:p>
        </w:tc>
        <w:tc>
          <w:tcPr>
            <w:tcW w:w="1058" w:type="dxa"/>
            <w:shd w:val="clear" w:color="auto" w:fill="FFFFFF" w:themeFill="background1"/>
          </w:tcPr>
          <w:p w14:paraId="58F48DB0" w14:textId="7AF682AD" w:rsidR="00500872" w:rsidRPr="00500872" w:rsidRDefault="00500872" w:rsidP="00500872">
            <w:pPr>
              <w:jc w:val="right"/>
              <w:rPr>
                <w:sz w:val="18"/>
                <w:szCs w:val="18"/>
              </w:rPr>
            </w:pPr>
            <w:r w:rsidRPr="00500872">
              <w:rPr>
                <w:sz w:val="18"/>
                <w:szCs w:val="18"/>
              </w:rPr>
              <w:t xml:space="preserve"> 3,981,780 </w:t>
            </w:r>
          </w:p>
        </w:tc>
        <w:tc>
          <w:tcPr>
            <w:tcW w:w="1058" w:type="dxa"/>
            <w:shd w:val="clear" w:color="auto" w:fill="FFFFFF" w:themeFill="background1"/>
          </w:tcPr>
          <w:p w14:paraId="38EC82A9" w14:textId="445A6CC0" w:rsidR="00500872" w:rsidRPr="00500872" w:rsidRDefault="00500872" w:rsidP="00500872">
            <w:pPr>
              <w:jc w:val="right"/>
              <w:rPr>
                <w:sz w:val="18"/>
                <w:szCs w:val="18"/>
              </w:rPr>
            </w:pPr>
            <w:r w:rsidRPr="00500872">
              <w:rPr>
                <w:sz w:val="18"/>
                <w:szCs w:val="18"/>
              </w:rPr>
              <w:t xml:space="preserve"> 3,697,583 </w:t>
            </w:r>
          </w:p>
        </w:tc>
      </w:tr>
      <w:tr w:rsidR="00500872" w:rsidRPr="001662A9" w14:paraId="68B428B7" w14:textId="77777777" w:rsidTr="00853B07">
        <w:trPr>
          <w:cantSplit/>
          <w:trHeight w:val="15"/>
        </w:trPr>
        <w:tc>
          <w:tcPr>
            <w:tcW w:w="3964" w:type="dxa"/>
            <w:shd w:val="clear" w:color="auto" w:fill="D9D9D9" w:themeFill="background1" w:themeFillShade="D9"/>
          </w:tcPr>
          <w:p w14:paraId="700046F0" w14:textId="77777777" w:rsidR="00500872" w:rsidRPr="00500872" w:rsidRDefault="00500872" w:rsidP="00500872">
            <w:pPr>
              <w:rPr>
                <w:b/>
                <w:bCs/>
                <w:sz w:val="18"/>
                <w:szCs w:val="18"/>
              </w:rPr>
            </w:pPr>
            <w:r w:rsidRPr="00500872">
              <w:rPr>
                <w:b/>
                <w:bCs/>
                <w:sz w:val="18"/>
                <w:szCs w:val="18"/>
              </w:rPr>
              <w:t>Total assets</w:t>
            </w:r>
          </w:p>
        </w:tc>
        <w:tc>
          <w:tcPr>
            <w:tcW w:w="1057" w:type="dxa"/>
            <w:shd w:val="clear" w:color="auto" w:fill="D9D9D9" w:themeFill="background1" w:themeFillShade="D9"/>
          </w:tcPr>
          <w:p w14:paraId="55AE5C79" w14:textId="29BC08D4" w:rsidR="00500872" w:rsidRPr="00500872" w:rsidRDefault="00500872" w:rsidP="00500872">
            <w:pPr>
              <w:jc w:val="right"/>
              <w:rPr>
                <w:b/>
                <w:bCs/>
                <w:sz w:val="18"/>
                <w:szCs w:val="18"/>
              </w:rPr>
            </w:pPr>
            <w:r w:rsidRPr="00500872">
              <w:rPr>
                <w:b/>
                <w:bCs/>
                <w:sz w:val="18"/>
                <w:szCs w:val="18"/>
              </w:rPr>
              <w:t xml:space="preserve"> 3,420,430 </w:t>
            </w:r>
          </w:p>
        </w:tc>
        <w:tc>
          <w:tcPr>
            <w:tcW w:w="1058" w:type="dxa"/>
            <w:shd w:val="clear" w:color="auto" w:fill="D9D9D9" w:themeFill="background1" w:themeFillShade="D9"/>
          </w:tcPr>
          <w:p w14:paraId="1D1E6E64" w14:textId="25565448" w:rsidR="00500872" w:rsidRPr="00500872" w:rsidRDefault="00500872" w:rsidP="00500872">
            <w:pPr>
              <w:jc w:val="right"/>
              <w:rPr>
                <w:b/>
                <w:bCs/>
                <w:sz w:val="18"/>
                <w:szCs w:val="18"/>
              </w:rPr>
            </w:pPr>
            <w:r w:rsidRPr="00500872">
              <w:rPr>
                <w:b/>
                <w:bCs/>
                <w:sz w:val="18"/>
                <w:szCs w:val="18"/>
              </w:rPr>
              <w:t xml:space="preserve"> 3,593,144 </w:t>
            </w:r>
          </w:p>
        </w:tc>
        <w:tc>
          <w:tcPr>
            <w:tcW w:w="1057" w:type="dxa"/>
            <w:shd w:val="clear" w:color="auto" w:fill="D9D9D9" w:themeFill="background1" w:themeFillShade="D9"/>
          </w:tcPr>
          <w:p w14:paraId="337DC367" w14:textId="289A0EEE" w:rsidR="00500872" w:rsidRPr="00500872" w:rsidRDefault="00500872" w:rsidP="00500872">
            <w:pPr>
              <w:jc w:val="right"/>
              <w:rPr>
                <w:b/>
                <w:bCs/>
                <w:sz w:val="18"/>
                <w:szCs w:val="18"/>
              </w:rPr>
            </w:pPr>
            <w:r w:rsidRPr="00500872">
              <w:rPr>
                <w:b/>
                <w:bCs/>
                <w:sz w:val="18"/>
                <w:szCs w:val="18"/>
              </w:rPr>
              <w:t xml:space="preserve"> 3,248,069 </w:t>
            </w:r>
          </w:p>
        </w:tc>
        <w:tc>
          <w:tcPr>
            <w:tcW w:w="1058" w:type="dxa"/>
            <w:shd w:val="clear" w:color="auto" w:fill="D9D9D9" w:themeFill="background1" w:themeFillShade="D9"/>
          </w:tcPr>
          <w:p w14:paraId="7ABE0E6C" w14:textId="3BCCADFA" w:rsidR="00500872" w:rsidRPr="00500872" w:rsidRDefault="00500872" w:rsidP="00500872">
            <w:pPr>
              <w:jc w:val="right"/>
              <w:rPr>
                <w:b/>
                <w:bCs/>
                <w:sz w:val="18"/>
                <w:szCs w:val="18"/>
              </w:rPr>
            </w:pPr>
            <w:r w:rsidRPr="00500872">
              <w:rPr>
                <w:b/>
                <w:bCs/>
                <w:sz w:val="18"/>
                <w:szCs w:val="18"/>
              </w:rPr>
              <w:t xml:space="preserve"> 4,038,155 </w:t>
            </w:r>
          </w:p>
        </w:tc>
        <w:tc>
          <w:tcPr>
            <w:tcW w:w="1058" w:type="dxa"/>
            <w:shd w:val="clear" w:color="auto" w:fill="D9D9D9" w:themeFill="background1" w:themeFillShade="D9"/>
          </w:tcPr>
          <w:p w14:paraId="683C346D" w14:textId="15D4146A" w:rsidR="00500872" w:rsidRPr="00500872" w:rsidRDefault="00500872" w:rsidP="00500872">
            <w:pPr>
              <w:jc w:val="right"/>
              <w:rPr>
                <w:b/>
                <w:bCs/>
                <w:sz w:val="18"/>
                <w:szCs w:val="18"/>
              </w:rPr>
            </w:pPr>
            <w:r w:rsidRPr="00500872">
              <w:rPr>
                <w:b/>
                <w:bCs/>
                <w:sz w:val="18"/>
                <w:szCs w:val="18"/>
              </w:rPr>
              <w:t xml:space="preserve"> 3,769,156 </w:t>
            </w:r>
          </w:p>
        </w:tc>
      </w:tr>
      <w:tr w:rsidR="00500872" w:rsidRPr="001662A9" w14:paraId="5E5F95A5" w14:textId="77777777" w:rsidTr="00853B07">
        <w:trPr>
          <w:cantSplit/>
          <w:trHeight w:val="15"/>
        </w:trPr>
        <w:tc>
          <w:tcPr>
            <w:tcW w:w="3964" w:type="dxa"/>
            <w:shd w:val="clear" w:color="auto" w:fill="FFFFFF" w:themeFill="background1"/>
          </w:tcPr>
          <w:p w14:paraId="628ADCA1" w14:textId="77777777" w:rsidR="00500872" w:rsidRPr="00500872" w:rsidRDefault="00500872" w:rsidP="00500872">
            <w:pPr>
              <w:rPr>
                <w:sz w:val="18"/>
                <w:szCs w:val="18"/>
              </w:rPr>
            </w:pPr>
            <w:r w:rsidRPr="00500872">
              <w:rPr>
                <w:sz w:val="18"/>
                <w:szCs w:val="18"/>
              </w:rPr>
              <w:t>Total current liabilities</w:t>
            </w:r>
          </w:p>
        </w:tc>
        <w:tc>
          <w:tcPr>
            <w:tcW w:w="1057" w:type="dxa"/>
            <w:shd w:val="clear" w:color="auto" w:fill="FFFFFF" w:themeFill="background1"/>
          </w:tcPr>
          <w:p w14:paraId="043EF8C3" w14:textId="585303AE" w:rsidR="00500872" w:rsidRPr="00500872" w:rsidRDefault="00500872" w:rsidP="00500872">
            <w:pPr>
              <w:jc w:val="right"/>
              <w:rPr>
                <w:sz w:val="18"/>
                <w:szCs w:val="18"/>
              </w:rPr>
            </w:pPr>
            <w:r w:rsidRPr="00500872">
              <w:rPr>
                <w:sz w:val="18"/>
                <w:szCs w:val="18"/>
              </w:rPr>
              <w:t xml:space="preserve"> 245,613 </w:t>
            </w:r>
          </w:p>
        </w:tc>
        <w:tc>
          <w:tcPr>
            <w:tcW w:w="1058" w:type="dxa"/>
            <w:shd w:val="clear" w:color="auto" w:fill="FFFFFF" w:themeFill="background1"/>
          </w:tcPr>
          <w:p w14:paraId="7EDA165F" w14:textId="1EA2B9F3" w:rsidR="00500872" w:rsidRPr="00500872" w:rsidRDefault="00500872" w:rsidP="00500872">
            <w:pPr>
              <w:jc w:val="right"/>
              <w:rPr>
                <w:sz w:val="18"/>
                <w:szCs w:val="18"/>
              </w:rPr>
            </w:pPr>
            <w:r w:rsidRPr="00500872">
              <w:rPr>
                <w:sz w:val="18"/>
                <w:szCs w:val="18"/>
              </w:rPr>
              <w:t xml:space="preserve"> 264,914 </w:t>
            </w:r>
          </w:p>
        </w:tc>
        <w:tc>
          <w:tcPr>
            <w:tcW w:w="1057" w:type="dxa"/>
            <w:shd w:val="clear" w:color="auto" w:fill="FFFFFF" w:themeFill="background1"/>
          </w:tcPr>
          <w:p w14:paraId="0F9929EF" w14:textId="7F3FB56B" w:rsidR="00500872" w:rsidRPr="00500872" w:rsidRDefault="00500872" w:rsidP="00500872">
            <w:pPr>
              <w:jc w:val="right"/>
              <w:rPr>
                <w:sz w:val="18"/>
                <w:szCs w:val="18"/>
              </w:rPr>
            </w:pPr>
            <w:r w:rsidRPr="00500872">
              <w:rPr>
                <w:sz w:val="18"/>
                <w:szCs w:val="18"/>
              </w:rPr>
              <w:t xml:space="preserve"> 205,845 </w:t>
            </w:r>
          </w:p>
        </w:tc>
        <w:tc>
          <w:tcPr>
            <w:tcW w:w="1058" w:type="dxa"/>
            <w:shd w:val="clear" w:color="auto" w:fill="FFFFFF" w:themeFill="background1"/>
          </w:tcPr>
          <w:p w14:paraId="01EA6D33" w14:textId="3F111E3D" w:rsidR="00500872" w:rsidRPr="00500872" w:rsidRDefault="00500872" w:rsidP="00500872">
            <w:pPr>
              <w:jc w:val="right"/>
              <w:rPr>
                <w:sz w:val="18"/>
                <w:szCs w:val="18"/>
              </w:rPr>
            </w:pPr>
            <w:r w:rsidRPr="00500872">
              <w:rPr>
                <w:sz w:val="18"/>
                <w:szCs w:val="18"/>
              </w:rPr>
              <w:t xml:space="preserve"> 322,807 </w:t>
            </w:r>
          </w:p>
        </w:tc>
        <w:tc>
          <w:tcPr>
            <w:tcW w:w="1058" w:type="dxa"/>
            <w:shd w:val="clear" w:color="auto" w:fill="FFFFFF" w:themeFill="background1"/>
          </w:tcPr>
          <w:p w14:paraId="196BF9EC" w14:textId="3E0FD449" w:rsidR="00500872" w:rsidRPr="00500872" w:rsidRDefault="00500872" w:rsidP="00500872">
            <w:pPr>
              <w:jc w:val="right"/>
              <w:rPr>
                <w:sz w:val="18"/>
                <w:szCs w:val="18"/>
              </w:rPr>
            </w:pPr>
            <w:r w:rsidRPr="00500872">
              <w:rPr>
                <w:sz w:val="18"/>
                <w:szCs w:val="18"/>
              </w:rPr>
              <w:t xml:space="preserve"> 222,175 </w:t>
            </w:r>
          </w:p>
        </w:tc>
      </w:tr>
      <w:tr w:rsidR="00500872" w:rsidRPr="001662A9" w14:paraId="53B06F6A" w14:textId="77777777" w:rsidTr="00853B07">
        <w:trPr>
          <w:cantSplit/>
          <w:trHeight w:val="15"/>
        </w:trPr>
        <w:tc>
          <w:tcPr>
            <w:tcW w:w="3964" w:type="dxa"/>
            <w:shd w:val="clear" w:color="auto" w:fill="FFFFFF" w:themeFill="background1"/>
          </w:tcPr>
          <w:p w14:paraId="13FCD3A7" w14:textId="77777777" w:rsidR="00500872" w:rsidRPr="00500872" w:rsidRDefault="00500872" w:rsidP="00500872">
            <w:pPr>
              <w:rPr>
                <w:sz w:val="18"/>
                <w:szCs w:val="18"/>
              </w:rPr>
            </w:pPr>
            <w:r w:rsidRPr="00500872">
              <w:rPr>
                <w:sz w:val="18"/>
                <w:szCs w:val="18"/>
              </w:rPr>
              <w:t>Total non-current liabilities</w:t>
            </w:r>
          </w:p>
        </w:tc>
        <w:tc>
          <w:tcPr>
            <w:tcW w:w="1057" w:type="dxa"/>
            <w:shd w:val="clear" w:color="auto" w:fill="FFFFFF" w:themeFill="background1"/>
          </w:tcPr>
          <w:p w14:paraId="6550790B" w14:textId="116748B1" w:rsidR="00500872" w:rsidRPr="00500872" w:rsidRDefault="00500872" w:rsidP="00500872">
            <w:pPr>
              <w:jc w:val="right"/>
              <w:rPr>
                <w:sz w:val="18"/>
                <w:szCs w:val="18"/>
              </w:rPr>
            </w:pPr>
            <w:r w:rsidRPr="00500872">
              <w:rPr>
                <w:sz w:val="18"/>
                <w:szCs w:val="18"/>
              </w:rPr>
              <w:t xml:space="preserve"> 519,811 </w:t>
            </w:r>
          </w:p>
        </w:tc>
        <w:tc>
          <w:tcPr>
            <w:tcW w:w="1058" w:type="dxa"/>
            <w:shd w:val="clear" w:color="auto" w:fill="FFFFFF" w:themeFill="background1"/>
          </w:tcPr>
          <w:p w14:paraId="5B4090DB" w14:textId="6D288EF1" w:rsidR="00500872" w:rsidRPr="00500872" w:rsidRDefault="00500872" w:rsidP="00500872">
            <w:pPr>
              <w:jc w:val="right"/>
              <w:rPr>
                <w:sz w:val="18"/>
                <w:szCs w:val="18"/>
              </w:rPr>
            </w:pPr>
            <w:r w:rsidRPr="00500872">
              <w:rPr>
                <w:sz w:val="18"/>
                <w:szCs w:val="18"/>
              </w:rPr>
              <w:t xml:space="preserve"> 462,966 </w:t>
            </w:r>
          </w:p>
        </w:tc>
        <w:tc>
          <w:tcPr>
            <w:tcW w:w="1057" w:type="dxa"/>
            <w:shd w:val="clear" w:color="auto" w:fill="FFFFFF" w:themeFill="background1"/>
          </w:tcPr>
          <w:p w14:paraId="5702170C" w14:textId="5C8715AC" w:rsidR="00500872" w:rsidRPr="00500872" w:rsidRDefault="00500872" w:rsidP="00500872">
            <w:pPr>
              <w:jc w:val="right"/>
              <w:rPr>
                <w:sz w:val="18"/>
                <w:szCs w:val="18"/>
              </w:rPr>
            </w:pPr>
            <w:r w:rsidRPr="00500872">
              <w:rPr>
                <w:sz w:val="18"/>
                <w:szCs w:val="18"/>
              </w:rPr>
              <w:t xml:space="preserve"> 505,370 </w:t>
            </w:r>
          </w:p>
        </w:tc>
        <w:tc>
          <w:tcPr>
            <w:tcW w:w="1058" w:type="dxa"/>
            <w:shd w:val="clear" w:color="auto" w:fill="FFFFFF" w:themeFill="background1"/>
          </w:tcPr>
          <w:p w14:paraId="063AFA02" w14:textId="403835E7" w:rsidR="00500872" w:rsidRPr="00500872" w:rsidRDefault="00500872" w:rsidP="00500872">
            <w:pPr>
              <w:jc w:val="right"/>
              <w:rPr>
                <w:sz w:val="18"/>
                <w:szCs w:val="18"/>
              </w:rPr>
            </w:pPr>
            <w:r w:rsidRPr="00500872">
              <w:rPr>
                <w:sz w:val="18"/>
                <w:szCs w:val="18"/>
              </w:rPr>
              <w:t xml:space="preserve"> 554,784 </w:t>
            </w:r>
          </w:p>
        </w:tc>
        <w:tc>
          <w:tcPr>
            <w:tcW w:w="1058" w:type="dxa"/>
            <w:shd w:val="clear" w:color="auto" w:fill="FFFFFF" w:themeFill="background1"/>
          </w:tcPr>
          <w:p w14:paraId="1F95DF9E" w14:textId="7AE4F835" w:rsidR="00500872" w:rsidRPr="00500872" w:rsidRDefault="00500872" w:rsidP="00500872">
            <w:pPr>
              <w:jc w:val="right"/>
              <w:rPr>
                <w:sz w:val="18"/>
                <w:szCs w:val="18"/>
              </w:rPr>
            </w:pPr>
            <w:r w:rsidRPr="00500872">
              <w:rPr>
                <w:sz w:val="18"/>
                <w:szCs w:val="18"/>
              </w:rPr>
              <w:t xml:space="preserve"> 569,036 </w:t>
            </w:r>
          </w:p>
        </w:tc>
      </w:tr>
      <w:tr w:rsidR="00500872" w:rsidRPr="001662A9" w14:paraId="24412559" w14:textId="77777777" w:rsidTr="00853B07">
        <w:trPr>
          <w:cantSplit/>
          <w:trHeight w:val="15"/>
        </w:trPr>
        <w:tc>
          <w:tcPr>
            <w:tcW w:w="3964" w:type="dxa"/>
            <w:shd w:val="clear" w:color="auto" w:fill="D9D9D9" w:themeFill="background1" w:themeFillShade="D9"/>
          </w:tcPr>
          <w:p w14:paraId="32AF0622" w14:textId="77777777" w:rsidR="00500872" w:rsidRPr="00500872" w:rsidRDefault="00500872" w:rsidP="00500872">
            <w:pPr>
              <w:rPr>
                <w:b/>
                <w:bCs/>
                <w:sz w:val="18"/>
                <w:szCs w:val="18"/>
              </w:rPr>
            </w:pPr>
            <w:r w:rsidRPr="00500872">
              <w:rPr>
                <w:b/>
                <w:bCs/>
                <w:sz w:val="18"/>
                <w:szCs w:val="18"/>
              </w:rPr>
              <w:t>Total liabilities</w:t>
            </w:r>
          </w:p>
        </w:tc>
        <w:tc>
          <w:tcPr>
            <w:tcW w:w="1057" w:type="dxa"/>
            <w:shd w:val="clear" w:color="auto" w:fill="D9D9D9" w:themeFill="background1" w:themeFillShade="D9"/>
          </w:tcPr>
          <w:p w14:paraId="7F8B0AE8" w14:textId="20166B64" w:rsidR="00500872" w:rsidRPr="00500872" w:rsidRDefault="00500872" w:rsidP="00500872">
            <w:pPr>
              <w:jc w:val="right"/>
              <w:rPr>
                <w:b/>
                <w:bCs/>
                <w:sz w:val="18"/>
                <w:szCs w:val="18"/>
              </w:rPr>
            </w:pPr>
            <w:r w:rsidRPr="00500872">
              <w:rPr>
                <w:sz w:val="18"/>
                <w:szCs w:val="18"/>
              </w:rPr>
              <w:t xml:space="preserve"> 765,424 </w:t>
            </w:r>
          </w:p>
        </w:tc>
        <w:tc>
          <w:tcPr>
            <w:tcW w:w="1058" w:type="dxa"/>
            <w:shd w:val="clear" w:color="auto" w:fill="D9D9D9" w:themeFill="background1" w:themeFillShade="D9"/>
          </w:tcPr>
          <w:p w14:paraId="142E6E34" w14:textId="26FAC1E9" w:rsidR="00500872" w:rsidRPr="00500872" w:rsidRDefault="00500872" w:rsidP="00500872">
            <w:pPr>
              <w:jc w:val="right"/>
              <w:rPr>
                <w:b/>
                <w:bCs/>
                <w:sz w:val="18"/>
                <w:szCs w:val="18"/>
              </w:rPr>
            </w:pPr>
            <w:r w:rsidRPr="00500872">
              <w:rPr>
                <w:sz w:val="18"/>
                <w:szCs w:val="18"/>
              </w:rPr>
              <w:t xml:space="preserve"> 727,880 </w:t>
            </w:r>
          </w:p>
        </w:tc>
        <w:tc>
          <w:tcPr>
            <w:tcW w:w="1057" w:type="dxa"/>
            <w:shd w:val="clear" w:color="auto" w:fill="D9D9D9" w:themeFill="background1" w:themeFillShade="D9"/>
          </w:tcPr>
          <w:p w14:paraId="5446878C" w14:textId="4A919F02" w:rsidR="00500872" w:rsidRPr="00500872" w:rsidRDefault="00500872" w:rsidP="00500872">
            <w:pPr>
              <w:jc w:val="right"/>
              <w:rPr>
                <w:b/>
                <w:bCs/>
                <w:sz w:val="18"/>
                <w:szCs w:val="18"/>
              </w:rPr>
            </w:pPr>
            <w:r w:rsidRPr="00500872">
              <w:rPr>
                <w:sz w:val="18"/>
                <w:szCs w:val="18"/>
              </w:rPr>
              <w:t xml:space="preserve"> 711,215 </w:t>
            </w:r>
          </w:p>
        </w:tc>
        <w:tc>
          <w:tcPr>
            <w:tcW w:w="1058" w:type="dxa"/>
            <w:shd w:val="clear" w:color="auto" w:fill="D9D9D9" w:themeFill="background1" w:themeFillShade="D9"/>
          </w:tcPr>
          <w:p w14:paraId="30CAEAB7" w14:textId="104C481D" w:rsidR="00500872" w:rsidRPr="00500872" w:rsidRDefault="00500872" w:rsidP="00500872">
            <w:pPr>
              <w:jc w:val="right"/>
              <w:rPr>
                <w:b/>
                <w:bCs/>
                <w:sz w:val="18"/>
                <w:szCs w:val="18"/>
              </w:rPr>
            </w:pPr>
            <w:r w:rsidRPr="00500872">
              <w:rPr>
                <w:sz w:val="18"/>
                <w:szCs w:val="18"/>
              </w:rPr>
              <w:t xml:space="preserve"> 877,591 </w:t>
            </w:r>
          </w:p>
        </w:tc>
        <w:tc>
          <w:tcPr>
            <w:tcW w:w="1058" w:type="dxa"/>
            <w:shd w:val="clear" w:color="auto" w:fill="D9D9D9" w:themeFill="background1" w:themeFillShade="D9"/>
          </w:tcPr>
          <w:p w14:paraId="739B34AF" w14:textId="4C77EFBF" w:rsidR="00500872" w:rsidRPr="00500872" w:rsidRDefault="00500872" w:rsidP="00500872">
            <w:pPr>
              <w:jc w:val="right"/>
              <w:rPr>
                <w:b/>
                <w:bCs/>
                <w:sz w:val="18"/>
                <w:szCs w:val="18"/>
              </w:rPr>
            </w:pPr>
            <w:r w:rsidRPr="00500872">
              <w:rPr>
                <w:sz w:val="18"/>
                <w:szCs w:val="18"/>
              </w:rPr>
              <w:t xml:space="preserve"> 791,211 </w:t>
            </w:r>
          </w:p>
        </w:tc>
      </w:tr>
      <w:tr w:rsidR="00500872" w:rsidRPr="001662A9" w14:paraId="5BB53FFA" w14:textId="77777777" w:rsidTr="00853B07">
        <w:trPr>
          <w:cantSplit/>
          <w:trHeight w:val="15"/>
        </w:trPr>
        <w:tc>
          <w:tcPr>
            <w:tcW w:w="3964" w:type="dxa"/>
            <w:shd w:val="clear" w:color="auto" w:fill="D9D9D9" w:themeFill="background1" w:themeFillShade="D9"/>
          </w:tcPr>
          <w:p w14:paraId="72427FE6" w14:textId="77777777" w:rsidR="00500872" w:rsidRPr="00500872" w:rsidRDefault="00500872" w:rsidP="00500872">
            <w:pPr>
              <w:rPr>
                <w:b/>
                <w:bCs/>
                <w:sz w:val="18"/>
                <w:szCs w:val="18"/>
              </w:rPr>
            </w:pPr>
            <w:r w:rsidRPr="00500872">
              <w:rPr>
                <w:b/>
                <w:bCs/>
                <w:sz w:val="18"/>
                <w:szCs w:val="18"/>
              </w:rPr>
              <w:t>Net assets</w:t>
            </w:r>
          </w:p>
        </w:tc>
        <w:tc>
          <w:tcPr>
            <w:tcW w:w="1057" w:type="dxa"/>
            <w:shd w:val="clear" w:color="auto" w:fill="D9D9D9" w:themeFill="background1" w:themeFillShade="D9"/>
          </w:tcPr>
          <w:p w14:paraId="7C31A013" w14:textId="0683ACB7" w:rsidR="00500872" w:rsidRPr="00500872" w:rsidRDefault="00500872" w:rsidP="00500872">
            <w:pPr>
              <w:jc w:val="right"/>
              <w:rPr>
                <w:b/>
                <w:bCs/>
                <w:sz w:val="18"/>
                <w:szCs w:val="18"/>
              </w:rPr>
            </w:pPr>
            <w:r w:rsidRPr="00500872">
              <w:rPr>
                <w:b/>
                <w:bCs/>
                <w:sz w:val="18"/>
                <w:szCs w:val="18"/>
              </w:rPr>
              <w:t xml:space="preserve"> 2,655,006 </w:t>
            </w:r>
          </w:p>
        </w:tc>
        <w:tc>
          <w:tcPr>
            <w:tcW w:w="1058" w:type="dxa"/>
            <w:shd w:val="clear" w:color="auto" w:fill="D9D9D9" w:themeFill="background1" w:themeFillShade="D9"/>
          </w:tcPr>
          <w:p w14:paraId="16D6ED1E" w14:textId="126132D6" w:rsidR="00500872" w:rsidRPr="00500872" w:rsidRDefault="00500872" w:rsidP="00500872">
            <w:pPr>
              <w:jc w:val="right"/>
              <w:rPr>
                <w:b/>
                <w:bCs/>
                <w:sz w:val="18"/>
                <w:szCs w:val="18"/>
              </w:rPr>
            </w:pPr>
            <w:r w:rsidRPr="00500872">
              <w:rPr>
                <w:b/>
                <w:bCs/>
                <w:sz w:val="18"/>
                <w:szCs w:val="18"/>
              </w:rPr>
              <w:t xml:space="preserve"> 2,865,264 </w:t>
            </w:r>
          </w:p>
        </w:tc>
        <w:tc>
          <w:tcPr>
            <w:tcW w:w="1057" w:type="dxa"/>
            <w:shd w:val="clear" w:color="auto" w:fill="D9D9D9" w:themeFill="background1" w:themeFillShade="D9"/>
          </w:tcPr>
          <w:p w14:paraId="4E53673F" w14:textId="20F5E4CE" w:rsidR="00500872" w:rsidRPr="00500872" w:rsidRDefault="00500872" w:rsidP="00500872">
            <w:pPr>
              <w:jc w:val="right"/>
              <w:rPr>
                <w:b/>
                <w:bCs/>
                <w:sz w:val="18"/>
                <w:szCs w:val="18"/>
              </w:rPr>
            </w:pPr>
            <w:r w:rsidRPr="00500872">
              <w:rPr>
                <w:b/>
                <w:bCs/>
                <w:sz w:val="18"/>
                <w:szCs w:val="18"/>
              </w:rPr>
              <w:t xml:space="preserve"> 2,536,854 </w:t>
            </w:r>
          </w:p>
        </w:tc>
        <w:tc>
          <w:tcPr>
            <w:tcW w:w="1058" w:type="dxa"/>
            <w:shd w:val="clear" w:color="auto" w:fill="D9D9D9" w:themeFill="background1" w:themeFillShade="D9"/>
          </w:tcPr>
          <w:p w14:paraId="70ACC36F" w14:textId="7D386077" w:rsidR="00500872" w:rsidRPr="00500872" w:rsidRDefault="00500872" w:rsidP="00500872">
            <w:pPr>
              <w:jc w:val="right"/>
              <w:rPr>
                <w:b/>
                <w:bCs/>
                <w:sz w:val="18"/>
                <w:szCs w:val="18"/>
              </w:rPr>
            </w:pPr>
            <w:r w:rsidRPr="00500872">
              <w:rPr>
                <w:b/>
                <w:bCs/>
                <w:sz w:val="18"/>
                <w:szCs w:val="18"/>
              </w:rPr>
              <w:t xml:space="preserve"> 3,160,564 </w:t>
            </w:r>
          </w:p>
        </w:tc>
        <w:tc>
          <w:tcPr>
            <w:tcW w:w="1058" w:type="dxa"/>
            <w:shd w:val="clear" w:color="auto" w:fill="D9D9D9" w:themeFill="background1" w:themeFillShade="D9"/>
          </w:tcPr>
          <w:p w14:paraId="2ED27A94" w14:textId="18AAB9BB" w:rsidR="00500872" w:rsidRPr="00500872" w:rsidRDefault="00500872" w:rsidP="00500872">
            <w:pPr>
              <w:jc w:val="right"/>
              <w:rPr>
                <w:b/>
                <w:bCs/>
                <w:sz w:val="18"/>
                <w:szCs w:val="18"/>
              </w:rPr>
            </w:pPr>
            <w:r w:rsidRPr="00500872">
              <w:rPr>
                <w:b/>
                <w:bCs/>
                <w:sz w:val="18"/>
                <w:szCs w:val="18"/>
              </w:rPr>
              <w:t xml:space="preserve"> 2,977,945 </w:t>
            </w:r>
          </w:p>
        </w:tc>
      </w:tr>
      <w:tr w:rsidR="008F521F" w:rsidRPr="001662A9" w14:paraId="49F2DFF7" w14:textId="77777777" w:rsidTr="00853B07">
        <w:trPr>
          <w:cantSplit/>
          <w:trHeight w:val="15"/>
        </w:trPr>
        <w:tc>
          <w:tcPr>
            <w:tcW w:w="9252" w:type="dxa"/>
            <w:gridSpan w:val="6"/>
            <w:shd w:val="clear" w:color="auto" w:fill="FFFFFF" w:themeFill="background1"/>
          </w:tcPr>
          <w:p w14:paraId="53644D36" w14:textId="77777777" w:rsidR="008F521F" w:rsidRPr="00500872" w:rsidRDefault="008F521F" w:rsidP="00853B07">
            <w:pPr>
              <w:rPr>
                <w:sz w:val="18"/>
                <w:szCs w:val="18"/>
              </w:rPr>
            </w:pPr>
            <w:r w:rsidRPr="00500872">
              <w:rPr>
                <w:sz w:val="18"/>
                <w:szCs w:val="18"/>
              </w:rPr>
              <w:t>Equity attributable to:</w:t>
            </w:r>
          </w:p>
        </w:tc>
      </w:tr>
      <w:tr w:rsidR="00500872" w:rsidRPr="001662A9" w14:paraId="3A6B5CA9" w14:textId="77777777" w:rsidTr="00853B07">
        <w:trPr>
          <w:cantSplit/>
          <w:trHeight w:val="15"/>
        </w:trPr>
        <w:tc>
          <w:tcPr>
            <w:tcW w:w="3964" w:type="dxa"/>
            <w:shd w:val="clear" w:color="auto" w:fill="FFFFFF" w:themeFill="background1"/>
          </w:tcPr>
          <w:p w14:paraId="0586EE49" w14:textId="77777777" w:rsidR="00500872" w:rsidRPr="00500872" w:rsidRDefault="00500872" w:rsidP="00500872">
            <w:pPr>
              <w:rPr>
                <w:sz w:val="18"/>
                <w:szCs w:val="18"/>
              </w:rPr>
            </w:pPr>
            <w:r w:rsidRPr="00500872">
              <w:rPr>
                <w:sz w:val="18"/>
                <w:szCs w:val="18"/>
              </w:rPr>
              <w:t>Reserves</w:t>
            </w:r>
          </w:p>
        </w:tc>
        <w:tc>
          <w:tcPr>
            <w:tcW w:w="1057" w:type="dxa"/>
            <w:shd w:val="clear" w:color="auto" w:fill="FFFFFF" w:themeFill="background1"/>
          </w:tcPr>
          <w:p w14:paraId="24701B0C" w14:textId="4D5D9520" w:rsidR="00500872" w:rsidRPr="00500872" w:rsidRDefault="00500872" w:rsidP="00500872">
            <w:pPr>
              <w:jc w:val="right"/>
              <w:rPr>
                <w:sz w:val="18"/>
                <w:szCs w:val="18"/>
              </w:rPr>
            </w:pPr>
            <w:r w:rsidRPr="00500872">
              <w:rPr>
                <w:sz w:val="18"/>
                <w:szCs w:val="18"/>
              </w:rPr>
              <w:t xml:space="preserve"> 1,742,145 </w:t>
            </w:r>
          </w:p>
        </w:tc>
        <w:tc>
          <w:tcPr>
            <w:tcW w:w="1058" w:type="dxa"/>
            <w:shd w:val="clear" w:color="auto" w:fill="FFFFFF" w:themeFill="background1"/>
          </w:tcPr>
          <w:p w14:paraId="7BCA5B7F" w14:textId="0E1C24F1" w:rsidR="00500872" w:rsidRPr="00500872" w:rsidRDefault="00500872" w:rsidP="00500872">
            <w:pPr>
              <w:jc w:val="right"/>
              <w:rPr>
                <w:sz w:val="18"/>
                <w:szCs w:val="18"/>
              </w:rPr>
            </w:pPr>
            <w:r w:rsidRPr="00500872">
              <w:rPr>
                <w:sz w:val="18"/>
                <w:szCs w:val="18"/>
              </w:rPr>
              <w:t xml:space="preserve"> 1,838,035 </w:t>
            </w:r>
          </w:p>
        </w:tc>
        <w:tc>
          <w:tcPr>
            <w:tcW w:w="1057" w:type="dxa"/>
            <w:shd w:val="clear" w:color="auto" w:fill="FFFFFF" w:themeFill="background1"/>
          </w:tcPr>
          <w:p w14:paraId="1D25038F" w14:textId="73423AC7" w:rsidR="00500872" w:rsidRPr="00500872" w:rsidRDefault="00500872" w:rsidP="00500872">
            <w:pPr>
              <w:jc w:val="right"/>
              <w:rPr>
                <w:sz w:val="18"/>
                <w:szCs w:val="18"/>
              </w:rPr>
            </w:pPr>
            <w:r w:rsidRPr="00500872">
              <w:rPr>
                <w:sz w:val="18"/>
                <w:szCs w:val="18"/>
              </w:rPr>
              <w:t xml:space="preserve"> 1,653,341 </w:t>
            </w:r>
          </w:p>
        </w:tc>
        <w:tc>
          <w:tcPr>
            <w:tcW w:w="1058" w:type="dxa"/>
            <w:shd w:val="clear" w:color="auto" w:fill="FFFFFF" w:themeFill="background1"/>
          </w:tcPr>
          <w:p w14:paraId="3006587F" w14:textId="7EC2ACD8" w:rsidR="00500872" w:rsidRPr="00500872" w:rsidRDefault="00500872" w:rsidP="00500872">
            <w:pPr>
              <w:jc w:val="right"/>
              <w:rPr>
                <w:sz w:val="18"/>
                <w:szCs w:val="18"/>
              </w:rPr>
            </w:pPr>
            <w:r w:rsidRPr="00500872">
              <w:rPr>
                <w:sz w:val="18"/>
                <w:szCs w:val="18"/>
              </w:rPr>
              <w:t xml:space="preserve"> 2,036,988 </w:t>
            </w:r>
          </w:p>
        </w:tc>
        <w:tc>
          <w:tcPr>
            <w:tcW w:w="1058" w:type="dxa"/>
            <w:shd w:val="clear" w:color="auto" w:fill="FFFFFF" w:themeFill="background1"/>
          </w:tcPr>
          <w:p w14:paraId="7E7DC7EA" w14:textId="4C33D5BE" w:rsidR="00500872" w:rsidRPr="00500872" w:rsidRDefault="00500872" w:rsidP="00500872">
            <w:pPr>
              <w:jc w:val="right"/>
              <w:rPr>
                <w:sz w:val="18"/>
                <w:szCs w:val="18"/>
              </w:rPr>
            </w:pPr>
            <w:r w:rsidRPr="00500872">
              <w:rPr>
                <w:sz w:val="18"/>
                <w:szCs w:val="18"/>
              </w:rPr>
              <w:t xml:space="preserve"> 1,905,974 </w:t>
            </w:r>
          </w:p>
        </w:tc>
      </w:tr>
      <w:tr w:rsidR="00500872" w:rsidRPr="001662A9" w14:paraId="44A63587" w14:textId="77777777" w:rsidTr="00853B07">
        <w:trPr>
          <w:cantSplit/>
          <w:trHeight w:val="15"/>
        </w:trPr>
        <w:tc>
          <w:tcPr>
            <w:tcW w:w="3964" w:type="dxa"/>
            <w:shd w:val="clear" w:color="auto" w:fill="FFFFFF" w:themeFill="background1"/>
          </w:tcPr>
          <w:p w14:paraId="43CE9497" w14:textId="77777777" w:rsidR="00500872" w:rsidRPr="00500872" w:rsidRDefault="00500872" w:rsidP="00500872">
            <w:pPr>
              <w:rPr>
                <w:sz w:val="18"/>
                <w:szCs w:val="18"/>
              </w:rPr>
            </w:pPr>
            <w:r w:rsidRPr="00500872">
              <w:rPr>
                <w:sz w:val="18"/>
                <w:szCs w:val="18"/>
              </w:rPr>
              <w:t>Accumulated funds</w:t>
            </w:r>
          </w:p>
        </w:tc>
        <w:tc>
          <w:tcPr>
            <w:tcW w:w="1057" w:type="dxa"/>
            <w:shd w:val="clear" w:color="auto" w:fill="FFFFFF" w:themeFill="background1"/>
          </w:tcPr>
          <w:p w14:paraId="67272C7C" w14:textId="20DF84FC" w:rsidR="00500872" w:rsidRPr="00500872" w:rsidRDefault="00500872" w:rsidP="00500872">
            <w:pPr>
              <w:jc w:val="right"/>
              <w:rPr>
                <w:sz w:val="18"/>
                <w:szCs w:val="18"/>
              </w:rPr>
            </w:pPr>
            <w:r w:rsidRPr="00500872">
              <w:rPr>
                <w:sz w:val="18"/>
                <w:szCs w:val="18"/>
              </w:rPr>
              <w:t xml:space="preserve"> 912,861 </w:t>
            </w:r>
          </w:p>
        </w:tc>
        <w:tc>
          <w:tcPr>
            <w:tcW w:w="1058" w:type="dxa"/>
            <w:shd w:val="clear" w:color="auto" w:fill="FFFFFF" w:themeFill="background1"/>
          </w:tcPr>
          <w:p w14:paraId="64E283C3" w14:textId="4A55D2F9" w:rsidR="00500872" w:rsidRPr="00500872" w:rsidRDefault="00500872" w:rsidP="00500872">
            <w:pPr>
              <w:jc w:val="right"/>
              <w:rPr>
                <w:sz w:val="18"/>
                <w:szCs w:val="18"/>
              </w:rPr>
            </w:pPr>
            <w:r w:rsidRPr="00500872">
              <w:rPr>
                <w:sz w:val="18"/>
                <w:szCs w:val="18"/>
              </w:rPr>
              <w:t xml:space="preserve"> 1,027,229 </w:t>
            </w:r>
          </w:p>
        </w:tc>
        <w:tc>
          <w:tcPr>
            <w:tcW w:w="1057" w:type="dxa"/>
            <w:shd w:val="clear" w:color="auto" w:fill="FFFFFF" w:themeFill="background1"/>
          </w:tcPr>
          <w:p w14:paraId="60E5AD33" w14:textId="54A068CD" w:rsidR="00500872" w:rsidRPr="00500872" w:rsidRDefault="00500872" w:rsidP="00500872">
            <w:pPr>
              <w:jc w:val="right"/>
              <w:rPr>
                <w:sz w:val="18"/>
                <w:szCs w:val="18"/>
              </w:rPr>
            </w:pPr>
            <w:r w:rsidRPr="00500872">
              <w:rPr>
                <w:sz w:val="18"/>
                <w:szCs w:val="18"/>
              </w:rPr>
              <w:t xml:space="preserve"> 883,513 </w:t>
            </w:r>
          </w:p>
        </w:tc>
        <w:tc>
          <w:tcPr>
            <w:tcW w:w="1058" w:type="dxa"/>
            <w:shd w:val="clear" w:color="auto" w:fill="FFFFFF" w:themeFill="background1"/>
          </w:tcPr>
          <w:p w14:paraId="663263CD" w14:textId="67A048C0" w:rsidR="00500872" w:rsidRPr="00500872" w:rsidRDefault="00500872" w:rsidP="00500872">
            <w:pPr>
              <w:jc w:val="right"/>
              <w:rPr>
                <w:sz w:val="18"/>
                <w:szCs w:val="18"/>
              </w:rPr>
            </w:pPr>
            <w:r w:rsidRPr="00500872">
              <w:rPr>
                <w:sz w:val="18"/>
                <w:szCs w:val="18"/>
              </w:rPr>
              <w:t xml:space="preserve"> 994,951 </w:t>
            </w:r>
          </w:p>
        </w:tc>
        <w:tc>
          <w:tcPr>
            <w:tcW w:w="1058" w:type="dxa"/>
            <w:shd w:val="clear" w:color="auto" w:fill="FFFFFF" w:themeFill="background1"/>
          </w:tcPr>
          <w:p w14:paraId="362BAD5A" w14:textId="14971298" w:rsidR="00500872" w:rsidRPr="00500872" w:rsidRDefault="00500872" w:rsidP="00500872">
            <w:pPr>
              <w:jc w:val="right"/>
              <w:rPr>
                <w:sz w:val="18"/>
                <w:szCs w:val="18"/>
              </w:rPr>
            </w:pPr>
            <w:r w:rsidRPr="00500872">
              <w:rPr>
                <w:sz w:val="18"/>
                <w:szCs w:val="18"/>
              </w:rPr>
              <w:t xml:space="preserve"> 959,456 </w:t>
            </w:r>
          </w:p>
        </w:tc>
      </w:tr>
      <w:tr w:rsidR="00500872" w:rsidRPr="001662A9" w14:paraId="6EA3647D" w14:textId="77777777" w:rsidTr="00853B07">
        <w:trPr>
          <w:cantSplit/>
          <w:trHeight w:val="15"/>
        </w:trPr>
        <w:tc>
          <w:tcPr>
            <w:tcW w:w="3964" w:type="dxa"/>
            <w:shd w:val="clear" w:color="auto" w:fill="D9D9D9" w:themeFill="background1" w:themeFillShade="D9"/>
          </w:tcPr>
          <w:p w14:paraId="37606219" w14:textId="77777777" w:rsidR="00500872" w:rsidRPr="00500872" w:rsidRDefault="00500872" w:rsidP="00500872">
            <w:pPr>
              <w:rPr>
                <w:b/>
                <w:bCs/>
                <w:sz w:val="18"/>
                <w:szCs w:val="18"/>
              </w:rPr>
            </w:pPr>
            <w:r w:rsidRPr="00500872">
              <w:rPr>
                <w:b/>
                <w:bCs/>
                <w:sz w:val="18"/>
                <w:szCs w:val="18"/>
              </w:rPr>
              <w:t>Council</w:t>
            </w:r>
          </w:p>
        </w:tc>
        <w:tc>
          <w:tcPr>
            <w:tcW w:w="1057" w:type="dxa"/>
            <w:shd w:val="clear" w:color="auto" w:fill="D9D9D9" w:themeFill="background1" w:themeFillShade="D9"/>
          </w:tcPr>
          <w:p w14:paraId="07A01BB2" w14:textId="5DEB1CDE" w:rsidR="00500872" w:rsidRPr="00500872" w:rsidRDefault="00500872" w:rsidP="00500872">
            <w:pPr>
              <w:jc w:val="right"/>
              <w:rPr>
                <w:b/>
                <w:bCs/>
                <w:sz w:val="18"/>
                <w:szCs w:val="18"/>
              </w:rPr>
            </w:pPr>
            <w:r w:rsidRPr="00500872">
              <w:rPr>
                <w:b/>
                <w:bCs/>
                <w:sz w:val="18"/>
                <w:szCs w:val="18"/>
              </w:rPr>
              <w:t xml:space="preserve"> 2,655,006 </w:t>
            </w:r>
          </w:p>
        </w:tc>
        <w:tc>
          <w:tcPr>
            <w:tcW w:w="1058" w:type="dxa"/>
            <w:shd w:val="clear" w:color="auto" w:fill="D9D9D9" w:themeFill="background1" w:themeFillShade="D9"/>
          </w:tcPr>
          <w:p w14:paraId="24534180" w14:textId="097F7BBE" w:rsidR="00500872" w:rsidRPr="00500872" w:rsidRDefault="00500872" w:rsidP="00500872">
            <w:pPr>
              <w:jc w:val="right"/>
              <w:rPr>
                <w:b/>
                <w:bCs/>
                <w:sz w:val="18"/>
                <w:szCs w:val="18"/>
              </w:rPr>
            </w:pPr>
            <w:r w:rsidRPr="00500872">
              <w:rPr>
                <w:b/>
                <w:bCs/>
                <w:sz w:val="18"/>
                <w:szCs w:val="18"/>
              </w:rPr>
              <w:t xml:space="preserve"> 2,865,264 </w:t>
            </w:r>
          </w:p>
        </w:tc>
        <w:tc>
          <w:tcPr>
            <w:tcW w:w="1057" w:type="dxa"/>
            <w:shd w:val="clear" w:color="auto" w:fill="D9D9D9" w:themeFill="background1" w:themeFillShade="D9"/>
          </w:tcPr>
          <w:p w14:paraId="29048A11" w14:textId="6E6C64B2" w:rsidR="00500872" w:rsidRPr="00500872" w:rsidRDefault="00500872" w:rsidP="00500872">
            <w:pPr>
              <w:jc w:val="right"/>
              <w:rPr>
                <w:b/>
                <w:bCs/>
                <w:sz w:val="18"/>
                <w:szCs w:val="18"/>
              </w:rPr>
            </w:pPr>
            <w:r w:rsidRPr="00500872">
              <w:rPr>
                <w:b/>
                <w:bCs/>
                <w:sz w:val="18"/>
                <w:szCs w:val="18"/>
              </w:rPr>
              <w:t xml:space="preserve"> 2,536,854 </w:t>
            </w:r>
          </w:p>
        </w:tc>
        <w:tc>
          <w:tcPr>
            <w:tcW w:w="1058" w:type="dxa"/>
            <w:shd w:val="clear" w:color="auto" w:fill="D9D9D9" w:themeFill="background1" w:themeFillShade="D9"/>
          </w:tcPr>
          <w:p w14:paraId="2E317B5A" w14:textId="2CF7C579" w:rsidR="00500872" w:rsidRPr="00500872" w:rsidRDefault="00500872" w:rsidP="00500872">
            <w:pPr>
              <w:jc w:val="right"/>
              <w:rPr>
                <w:b/>
                <w:bCs/>
                <w:sz w:val="18"/>
                <w:szCs w:val="18"/>
              </w:rPr>
            </w:pPr>
            <w:r w:rsidRPr="00500872">
              <w:rPr>
                <w:b/>
                <w:bCs/>
                <w:sz w:val="18"/>
                <w:szCs w:val="18"/>
              </w:rPr>
              <w:t xml:space="preserve"> 3,031,939 </w:t>
            </w:r>
          </w:p>
        </w:tc>
        <w:tc>
          <w:tcPr>
            <w:tcW w:w="1058" w:type="dxa"/>
            <w:shd w:val="clear" w:color="auto" w:fill="D9D9D9" w:themeFill="background1" w:themeFillShade="D9"/>
          </w:tcPr>
          <w:p w14:paraId="3B5608FB" w14:textId="40791005" w:rsidR="00500872" w:rsidRPr="00500872" w:rsidRDefault="00500872" w:rsidP="00500872">
            <w:pPr>
              <w:jc w:val="right"/>
              <w:rPr>
                <w:b/>
                <w:bCs/>
                <w:sz w:val="18"/>
                <w:szCs w:val="18"/>
              </w:rPr>
            </w:pPr>
            <w:r w:rsidRPr="00500872">
              <w:rPr>
                <w:b/>
                <w:bCs/>
                <w:sz w:val="18"/>
                <w:szCs w:val="18"/>
              </w:rPr>
              <w:t xml:space="preserve"> 2,865,430 </w:t>
            </w:r>
          </w:p>
        </w:tc>
      </w:tr>
      <w:tr w:rsidR="00500872" w:rsidRPr="001662A9" w14:paraId="00886532" w14:textId="77777777" w:rsidTr="00853B07">
        <w:trPr>
          <w:cantSplit/>
          <w:trHeight w:val="15"/>
        </w:trPr>
        <w:tc>
          <w:tcPr>
            <w:tcW w:w="3964" w:type="dxa"/>
            <w:shd w:val="clear" w:color="auto" w:fill="FFFFFF" w:themeFill="background1"/>
          </w:tcPr>
          <w:p w14:paraId="0D53116A" w14:textId="77777777" w:rsidR="00500872" w:rsidRPr="00500872" w:rsidRDefault="00500872" w:rsidP="00500872">
            <w:pPr>
              <w:rPr>
                <w:sz w:val="18"/>
                <w:szCs w:val="18"/>
              </w:rPr>
            </w:pPr>
            <w:r w:rsidRPr="00500872">
              <w:rPr>
                <w:sz w:val="18"/>
                <w:szCs w:val="18"/>
              </w:rPr>
              <w:t>Non-controlling interest</w:t>
            </w:r>
          </w:p>
        </w:tc>
        <w:tc>
          <w:tcPr>
            <w:tcW w:w="1057" w:type="dxa"/>
            <w:shd w:val="clear" w:color="auto" w:fill="FFFFFF" w:themeFill="background1"/>
          </w:tcPr>
          <w:p w14:paraId="46CFC8AE" w14:textId="63FD7FF3" w:rsidR="00500872" w:rsidRPr="00500872" w:rsidRDefault="00500872" w:rsidP="00500872">
            <w:pPr>
              <w:jc w:val="right"/>
              <w:rPr>
                <w:sz w:val="18"/>
                <w:szCs w:val="18"/>
              </w:rPr>
            </w:pPr>
            <w:r w:rsidRPr="00500872">
              <w:rPr>
                <w:sz w:val="18"/>
                <w:szCs w:val="18"/>
              </w:rPr>
              <w:t xml:space="preserve"> -   </w:t>
            </w:r>
          </w:p>
        </w:tc>
        <w:tc>
          <w:tcPr>
            <w:tcW w:w="1058" w:type="dxa"/>
            <w:shd w:val="clear" w:color="auto" w:fill="FFFFFF" w:themeFill="background1"/>
          </w:tcPr>
          <w:p w14:paraId="2C528564" w14:textId="3AE281A2" w:rsidR="00500872" w:rsidRPr="00500872" w:rsidRDefault="00500872" w:rsidP="00500872">
            <w:pPr>
              <w:jc w:val="right"/>
              <w:rPr>
                <w:sz w:val="18"/>
                <w:szCs w:val="18"/>
              </w:rPr>
            </w:pPr>
            <w:r w:rsidRPr="00500872">
              <w:rPr>
                <w:sz w:val="18"/>
                <w:szCs w:val="18"/>
              </w:rPr>
              <w:t xml:space="preserve"> -   </w:t>
            </w:r>
          </w:p>
        </w:tc>
        <w:tc>
          <w:tcPr>
            <w:tcW w:w="1057" w:type="dxa"/>
            <w:shd w:val="clear" w:color="auto" w:fill="FFFFFF" w:themeFill="background1"/>
          </w:tcPr>
          <w:p w14:paraId="74D4206C" w14:textId="2DAF0A07" w:rsidR="00500872" w:rsidRPr="00500872" w:rsidRDefault="00500872" w:rsidP="00500872">
            <w:pPr>
              <w:jc w:val="right"/>
              <w:rPr>
                <w:sz w:val="18"/>
                <w:szCs w:val="18"/>
              </w:rPr>
            </w:pPr>
            <w:r w:rsidRPr="00500872">
              <w:rPr>
                <w:sz w:val="18"/>
                <w:szCs w:val="18"/>
              </w:rPr>
              <w:t xml:space="preserve"> -   </w:t>
            </w:r>
          </w:p>
        </w:tc>
        <w:tc>
          <w:tcPr>
            <w:tcW w:w="1058" w:type="dxa"/>
            <w:shd w:val="clear" w:color="auto" w:fill="FFFFFF" w:themeFill="background1"/>
          </w:tcPr>
          <w:p w14:paraId="08ECB9F0" w14:textId="0B4889DE" w:rsidR="00500872" w:rsidRPr="00500872" w:rsidRDefault="00500872" w:rsidP="00500872">
            <w:pPr>
              <w:jc w:val="right"/>
              <w:rPr>
                <w:sz w:val="18"/>
                <w:szCs w:val="18"/>
              </w:rPr>
            </w:pPr>
            <w:r w:rsidRPr="00500872">
              <w:rPr>
                <w:sz w:val="18"/>
                <w:szCs w:val="18"/>
              </w:rPr>
              <w:t xml:space="preserve"> 128,625 </w:t>
            </w:r>
          </w:p>
        </w:tc>
        <w:tc>
          <w:tcPr>
            <w:tcW w:w="1058" w:type="dxa"/>
            <w:shd w:val="clear" w:color="auto" w:fill="FFFFFF" w:themeFill="background1"/>
          </w:tcPr>
          <w:p w14:paraId="7CA5D279" w14:textId="6E03826A" w:rsidR="00500872" w:rsidRPr="00500872" w:rsidRDefault="00500872" w:rsidP="00500872">
            <w:pPr>
              <w:jc w:val="right"/>
              <w:rPr>
                <w:sz w:val="18"/>
                <w:szCs w:val="18"/>
              </w:rPr>
            </w:pPr>
            <w:r w:rsidRPr="00500872">
              <w:rPr>
                <w:sz w:val="18"/>
                <w:szCs w:val="18"/>
              </w:rPr>
              <w:t xml:space="preserve"> 112,514 </w:t>
            </w:r>
          </w:p>
        </w:tc>
      </w:tr>
      <w:tr w:rsidR="00500872" w:rsidRPr="001662A9" w14:paraId="1090AD7A" w14:textId="77777777" w:rsidTr="00853B07">
        <w:trPr>
          <w:cantSplit/>
          <w:trHeight w:val="15"/>
        </w:trPr>
        <w:tc>
          <w:tcPr>
            <w:tcW w:w="3964" w:type="dxa"/>
            <w:shd w:val="clear" w:color="auto" w:fill="D9D9D9" w:themeFill="background1" w:themeFillShade="D9"/>
          </w:tcPr>
          <w:p w14:paraId="0B9EDEBF" w14:textId="77777777" w:rsidR="00500872" w:rsidRPr="00500872" w:rsidRDefault="00500872" w:rsidP="00500872">
            <w:pPr>
              <w:rPr>
                <w:b/>
                <w:bCs/>
                <w:sz w:val="18"/>
                <w:szCs w:val="18"/>
              </w:rPr>
            </w:pPr>
            <w:r w:rsidRPr="00500872">
              <w:rPr>
                <w:b/>
                <w:bCs/>
                <w:sz w:val="18"/>
                <w:szCs w:val="18"/>
              </w:rPr>
              <w:t>Total equity</w:t>
            </w:r>
          </w:p>
        </w:tc>
        <w:tc>
          <w:tcPr>
            <w:tcW w:w="1057" w:type="dxa"/>
            <w:shd w:val="clear" w:color="auto" w:fill="D9D9D9" w:themeFill="background1" w:themeFillShade="D9"/>
          </w:tcPr>
          <w:p w14:paraId="68D405F9" w14:textId="32945362" w:rsidR="00500872" w:rsidRPr="00500872" w:rsidRDefault="00500872" w:rsidP="00500872">
            <w:pPr>
              <w:jc w:val="right"/>
              <w:rPr>
                <w:b/>
                <w:bCs/>
                <w:sz w:val="18"/>
                <w:szCs w:val="18"/>
              </w:rPr>
            </w:pPr>
            <w:r w:rsidRPr="00500872">
              <w:rPr>
                <w:b/>
                <w:bCs/>
                <w:sz w:val="18"/>
                <w:szCs w:val="18"/>
              </w:rPr>
              <w:t xml:space="preserve"> 2,655,006 </w:t>
            </w:r>
          </w:p>
        </w:tc>
        <w:tc>
          <w:tcPr>
            <w:tcW w:w="1058" w:type="dxa"/>
            <w:shd w:val="clear" w:color="auto" w:fill="D9D9D9" w:themeFill="background1" w:themeFillShade="D9"/>
          </w:tcPr>
          <w:p w14:paraId="28F61CD4" w14:textId="2F89CCB7" w:rsidR="00500872" w:rsidRPr="00500872" w:rsidRDefault="00500872" w:rsidP="00500872">
            <w:pPr>
              <w:jc w:val="right"/>
              <w:rPr>
                <w:b/>
                <w:bCs/>
                <w:sz w:val="18"/>
                <w:szCs w:val="18"/>
              </w:rPr>
            </w:pPr>
            <w:r w:rsidRPr="00500872">
              <w:rPr>
                <w:b/>
                <w:bCs/>
                <w:sz w:val="18"/>
                <w:szCs w:val="18"/>
              </w:rPr>
              <w:t xml:space="preserve"> 2,865,264 </w:t>
            </w:r>
          </w:p>
        </w:tc>
        <w:tc>
          <w:tcPr>
            <w:tcW w:w="1057" w:type="dxa"/>
            <w:shd w:val="clear" w:color="auto" w:fill="D9D9D9" w:themeFill="background1" w:themeFillShade="D9"/>
          </w:tcPr>
          <w:p w14:paraId="04BCBA73" w14:textId="33F78BF7" w:rsidR="00500872" w:rsidRPr="00500872" w:rsidRDefault="00500872" w:rsidP="00500872">
            <w:pPr>
              <w:jc w:val="right"/>
              <w:rPr>
                <w:b/>
                <w:bCs/>
                <w:sz w:val="18"/>
                <w:szCs w:val="18"/>
              </w:rPr>
            </w:pPr>
            <w:r w:rsidRPr="00500872">
              <w:rPr>
                <w:b/>
                <w:bCs/>
                <w:sz w:val="18"/>
                <w:szCs w:val="18"/>
              </w:rPr>
              <w:t xml:space="preserve"> 2,536,854 </w:t>
            </w:r>
          </w:p>
        </w:tc>
        <w:tc>
          <w:tcPr>
            <w:tcW w:w="1058" w:type="dxa"/>
            <w:shd w:val="clear" w:color="auto" w:fill="D9D9D9" w:themeFill="background1" w:themeFillShade="D9"/>
          </w:tcPr>
          <w:p w14:paraId="5749818D" w14:textId="2531B3EC" w:rsidR="00500872" w:rsidRPr="00500872" w:rsidRDefault="00500872" w:rsidP="00500872">
            <w:pPr>
              <w:jc w:val="right"/>
              <w:rPr>
                <w:b/>
                <w:bCs/>
                <w:sz w:val="18"/>
                <w:szCs w:val="18"/>
              </w:rPr>
            </w:pPr>
            <w:r w:rsidRPr="00500872">
              <w:rPr>
                <w:b/>
                <w:bCs/>
                <w:sz w:val="18"/>
                <w:szCs w:val="18"/>
              </w:rPr>
              <w:t xml:space="preserve"> 3,160,565 </w:t>
            </w:r>
          </w:p>
        </w:tc>
        <w:tc>
          <w:tcPr>
            <w:tcW w:w="1058" w:type="dxa"/>
            <w:shd w:val="clear" w:color="auto" w:fill="D9D9D9" w:themeFill="background1" w:themeFillShade="D9"/>
          </w:tcPr>
          <w:p w14:paraId="39FBEBC5" w14:textId="13B8B933" w:rsidR="00500872" w:rsidRPr="00500872" w:rsidRDefault="00500872" w:rsidP="00500872">
            <w:pPr>
              <w:jc w:val="right"/>
              <w:rPr>
                <w:b/>
                <w:bCs/>
                <w:sz w:val="18"/>
                <w:szCs w:val="18"/>
              </w:rPr>
            </w:pPr>
            <w:r w:rsidRPr="00500872">
              <w:rPr>
                <w:b/>
                <w:bCs/>
                <w:sz w:val="18"/>
                <w:szCs w:val="18"/>
              </w:rPr>
              <w:t xml:space="preserve"> 2,977,945 </w:t>
            </w:r>
          </w:p>
        </w:tc>
      </w:tr>
    </w:tbl>
    <w:p w14:paraId="1CB7F6D8" w14:textId="77777777" w:rsidR="009D2B3D" w:rsidRPr="009D2B3D" w:rsidRDefault="009D2B3D" w:rsidP="009D2B3D">
      <w:pPr>
        <w:rPr>
          <w:color w:val="000000" w:themeColor="text1"/>
          <w:sz w:val="18"/>
          <w:szCs w:val="18"/>
          <w:lang w:val="en-GB"/>
        </w:rPr>
      </w:pPr>
      <w:r w:rsidRPr="009D2B3D">
        <w:rPr>
          <w:color w:val="000000" w:themeColor="text1"/>
          <w:sz w:val="18"/>
          <w:szCs w:val="18"/>
          <w:lang w:val="en-GB"/>
        </w:rPr>
        <w:t>(</w:t>
      </w:r>
      <w:proofErr w:type="spellStart"/>
      <w:r w:rsidRPr="009D2B3D">
        <w:rPr>
          <w:color w:val="000000" w:themeColor="text1"/>
          <w:sz w:val="18"/>
          <w:szCs w:val="18"/>
          <w:lang w:val="en-GB"/>
        </w:rPr>
        <w:t>i</w:t>
      </w:r>
      <w:proofErr w:type="spellEnd"/>
      <w:r w:rsidRPr="009D2B3D">
        <w:rPr>
          <w:color w:val="000000" w:themeColor="text1"/>
          <w:sz w:val="18"/>
          <w:szCs w:val="18"/>
          <w:lang w:val="en-GB"/>
        </w:rPr>
        <w:t xml:space="preserve">) Refer to the notes to the summary financial statements on page </w:t>
      </w:r>
      <w:r w:rsidRPr="009D2B3D">
        <w:rPr>
          <w:color w:val="000000" w:themeColor="text1"/>
          <w:sz w:val="18"/>
          <w:szCs w:val="18"/>
          <w:lang w:val="en-GB"/>
        </w:rPr>
        <w:fldChar w:fldCharType="begin"/>
      </w:r>
      <w:r w:rsidRPr="009D2B3D">
        <w:rPr>
          <w:color w:val="000000" w:themeColor="text1"/>
          <w:sz w:val="18"/>
          <w:szCs w:val="18"/>
          <w:lang w:val="en-GB"/>
        </w:rPr>
        <w:instrText xml:space="preserve"> PAGEREF _Ref211422053 \h </w:instrText>
      </w:r>
      <w:r w:rsidRPr="009D2B3D">
        <w:rPr>
          <w:color w:val="000000" w:themeColor="text1"/>
          <w:sz w:val="18"/>
          <w:szCs w:val="18"/>
          <w:lang w:val="en-GB"/>
        </w:rPr>
      </w:r>
      <w:r w:rsidRPr="009D2B3D">
        <w:rPr>
          <w:color w:val="000000" w:themeColor="text1"/>
          <w:sz w:val="18"/>
          <w:szCs w:val="18"/>
          <w:lang w:val="en-GB"/>
        </w:rPr>
        <w:fldChar w:fldCharType="separate"/>
      </w:r>
      <w:r w:rsidRPr="009D2B3D">
        <w:rPr>
          <w:noProof/>
          <w:color w:val="000000" w:themeColor="text1"/>
          <w:sz w:val="18"/>
          <w:szCs w:val="18"/>
          <w:lang w:val="en-GB"/>
        </w:rPr>
        <w:t>5</w:t>
      </w:r>
      <w:r w:rsidRPr="009D2B3D">
        <w:rPr>
          <w:noProof/>
          <w:color w:val="000000" w:themeColor="text1"/>
          <w:sz w:val="18"/>
          <w:szCs w:val="18"/>
          <w:lang w:val="en-GB"/>
        </w:rPr>
        <w:t>8</w:t>
      </w:r>
      <w:r w:rsidRPr="009D2B3D">
        <w:rPr>
          <w:color w:val="000000" w:themeColor="text1"/>
          <w:sz w:val="18"/>
          <w:szCs w:val="18"/>
          <w:lang w:val="en-GB"/>
        </w:rPr>
        <w:fldChar w:fldCharType="end"/>
      </w:r>
      <w:r w:rsidRPr="009D2B3D">
        <w:rPr>
          <w:color w:val="000000" w:themeColor="text1"/>
          <w:sz w:val="18"/>
          <w:szCs w:val="18"/>
          <w:lang w:val="en-GB"/>
        </w:rPr>
        <w:t>.</w:t>
      </w:r>
    </w:p>
    <w:p w14:paraId="7C11E136" w14:textId="77777777" w:rsidR="008F521F" w:rsidRPr="006F4B5B" w:rsidRDefault="008F521F" w:rsidP="008F521F">
      <w:pPr>
        <w:rPr>
          <w:sz w:val="18"/>
          <w:szCs w:val="18"/>
          <w:lang w:val="en-GB"/>
        </w:rPr>
      </w:pPr>
    </w:p>
    <w:p w14:paraId="717B593D" w14:textId="77777777" w:rsidR="008F521F" w:rsidRPr="008F521F" w:rsidRDefault="008F521F" w:rsidP="008F521F">
      <w:pPr>
        <w:rPr>
          <w:sz w:val="18"/>
          <w:szCs w:val="18"/>
          <w:lang w:val="en-US"/>
        </w:rPr>
      </w:pPr>
      <w:r w:rsidRPr="008F521F">
        <w:rPr>
          <w:noProof/>
          <w:sz w:val="18"/>
          <w:szCs w:val="18"/>
          <w:lang w:val="en-US"/>
        </w:rPr>
        <w:drawing>
          <wp:inline distT="0" distB="0" distL="0" distR="0" wp14:anchorId="64ED5146" wp14:editId="7F53DBB8">
            <wp:extent cx="1123950" cy="541266"/>
            <wp:effectExtent l="0" t="0" r="0" b="0"/>
            <wp:docPr id="1248983625" name="Picture 1" descr="Glyn Lew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83625" name="Picture 1" descr="Glyn Lewers signatur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2606" cy="550250"/>
                    </a:xfrm>
                    <a:prstGeom prst="rect">
                      <a:avLst/>
                    </a:prstGeom>
                  </pic:spPr>
                </pic:pic>
              </a:graphicData>
            </a:graphic>
          </wp:inline>
        </w:drawing>
      </w:r>
    </w:p>
    <w:p w14:paraId="241B65CF" w14:textId="01F5C5CC" w:rsidR="008F521F" w:rsidRPr="008F521F" w:rsidRDefault="008F521F" w:rsidP="008F521F">
      <w:pPr>
        <w:rPr>
          <w:sz w:val="18"/>
          <w:szCs w:val="18"/>
          <w:lang w:val="en-US"/>
        </w:rPr>
      </w:pPr>
      <w:r w:rsidRPr="008F521F">
        <w:rPr>
          <w:sz w:val="18"/>
          <w:szCs w:val="18"/>
          <w:lang w:val="en-US"/>
        </w:rPr>
        <w:t>Glyn Lewers</w:t>
      </w:r>
      <w:r w:rsidRPr="008F521F">
        <w:rPr>
          <w:sz w:val="18"/>
          <w:szCs w:val="18"/>
          <w:lang w:val="en-US"/>
        </w:rPr>
        <w:br/>
        <w:t>Mayor</w:t>
      </w:r>
      <w:r w:rsidRPr="008F521F">
        <w:rPr>
          <w:sz w:val="18"/>
          <w:szCs w:val="18"/>
          <w:lang w:val="en-US"/>
        </w:rPr>
        <w:br/>
        <w:t>Queenstown Lakes District Council</w:t>
      </w:r>
      <w:r w:rsidRPr="008F521F">
        <w:rPr>
          <w:sz w:val="18"/>
          <w:szCs w:val="18"/>
          <w:lang w:val="en-US"/>
        </w:rPr>
        <w:br/>
        <w:t>9 October 2025</w:t>
      </w:r>
    </w:p>
    <w:p w14:paraId="4A1D785C" w14:textId="77777777" w:rsidR="008F521F" w:rsidRPr="008F521F" w:rsidRDefault="008F521F" w:rsidP="008F521F">
      <w:pPr>
        <w:rPr>
          <w:sz w:val="18"/>
          <w:szCs w:val="18"/>
          <w:lang w:val="en-US"/>
        </w:rPr>
      </w:pPr>
      <w:r w:rsidRPr="008F521F">
        <w:rPr>
          <w:noProof/>
          <w:sz w:val="18"/>
          <w:szCs w:val="18"/>
          <w:lang w:val="en-US"/>
        </w:rPr>
        <w:drawing>
          <wp:inline distT="0" distB="0" distL="0" distR="0" wp14:anchorId="4F211442" wp14:editId="43130FE7">
            <wp:extent cx="1133475" cy="498231"/>
            <wp:effectExtent l="0" t="0" r="0" b="0"/>
            <wp:docPr id="2098529410" name="Picture 2" descr="Mike Theel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29410" name="Picture 2" descr="Mike Theelen sig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0442" cy="505689"/>
                    </a:xfrm>
                    <a:prstGeom prst="rect">
                      <a:avLst/>
                    </a:prstGeom>
                    <a:noFill/>
                    <a:ln>
                      <a:noFill/>
                    </a:ln>
                  </pic:spPr>
                </pic:pic>
              </a:graphicData>
            </a:graphic>
          </wp:inline>
        </w:drawing>
      </w:r>
    </w:p>
    <w:p w14:paraId="72C37C17" w14:textId="77777777" w:rsidR="008F521F" w:rsidRPr="008F521F" w:rsidRDefault="008F521F" w:rsidP="008F521F">
      <w:pPr>
        <w:rPr>
          <w:sz w:val="18"/>
          <w:szCs w:val="18"/>
          <w:lang w:val="en-US"/>
        </w:rPr>
      </w:pPr>
      <w:r w:rsidRPr="008F521F">
        <w:rPr>
          <w:sz w:val="18"/>
          <w:szCs w:val="18"/>
          <w:lang w:val="en-US"/>
        </w:rPr>
        <w:t>Mike Theelen</w:t>
      </w:r>
      <w:r w:rsidRPr="008F521F">
        <w:rPr>
          <w:sz w:val="18"/>
          <w:szCs w:val="18"/>
          <w:lang w:val="en-US"/>
        </w:rPr>
        <w:br/>
        <w:t>Chief Executive</w:t>
      </w:r>
      <w:r w:rsidRPr="008F521F">
        <w:rPr>
          <w:sz w:val="18"/>
          <w:szCs w:val="18"/>
          <w:lang w:val="en-US"/>
        </w:rPr>
        <w:br/>
        <w:t>Queenstown Lakes District Council</w:t>
      </w:r>
      <w:r w:rsidRPr="008F521F">
        <w:rPr>
          <w:sz w:val="18"/>
          <w:szCs w:val="18"/>
          <w:lang w:val="en-US"/>
        </w:rPr>
        <w:br/>
        <w:t>9 October 2025</w:t>
      </w:r>
    </w:p>
    <w:p w14:paraId="54D44B70" w14:textId="2B9DB7EE" w:rsidR="00500872" w:rsidRPr="00BC08CB" w:rsidRDefault="008F521F" w:rsidP="00BC08CB">
      <w:pPr>
        <w:pStyle w:val="Heading2"/>
        <w:rPr>
          <w:rFonts w:asciiTheme="minorHAnsi" w:eastAsiaTheme="minorHAnsi" w:hAnsiTheme="minorHAnsi" w:cstheme="minorBidi"/>
          <w:b/>
          <w:bCs/>
          <w:color w:val="auto"/>
          <w:sz w:val="18"/>
          <w:szCs w:val="18"/>
          <w:lang w:val="en-US"/>
        </w:rPr>
      </w:pPr>
      <w:r w:rsidRPr="008F521F">
        <w:rPr>
          <w:sz w:val="18"/>
          <w:szCs w:val="18"/>
          <w:lang w:val="en-GB"/>
        </w:rPr>
        <w:br w:type="page"/>
      </w:r>
      <w:bookmarkStart w:id="59" w:name="_Toc211422671"/>
      <w:r w:rsidR="00BC08CB" w:rsidRPr="008F521F">
        <w:rPr>
          <w:lang w:val="en-GB"/>
        </w:rPr>
        <w:t>Summary Statement of Financial Position</w:t>
      </w:r>
      <w:bookmarkEnd w:id="59"/>
    </w:p>
    <w:tbl>
      <w:tblPr>
        <w:tblStyle w:val="TableGrid"/>
        <w:tblW w:w="11340" w:type="dxa"/>
        <w:tblInd w:w="-1139" w:type="dxa"/>
        <w:tblLayout w:type="fixed"/>
        <w:tblCellMar>
          <w:top w:w="115" w:type="dxa"/>
          <w:bottom w:w="115" w:type="dxa"/>
        </w:tblCellMar>
        <w:tblLook w:val="04A0" w:firstRow="1" w:lastRow="0" w:firstColumn="1" w:lastColumn="0" w:noHBand="0" w:noVBand="1"/>
      </w:tblPr>
      <w:tblGrid>
        <w:gridCol w:w="1560"/>
        <w:gridCol w:w="1222"/>
        <w:gridCol w:w="1223"/>
        <w:gridCol w:w="1222"/>
        <w:gridCol w:w="1223"/>
        <w:gridCol w:w="1222"/>
        <w:gridCol w:w="1223"/>
        <w:gridCol w:w="1222"/>
        <w:gridCol w:w="1223"/>
      </w:tblGrid>
      <w:tr w:rsidR="00563CE9" w:rsidRPr="00724CAE" w14:paraId="2BCCB2B8" w14:textId="77777777" w:rsidTr="00BC08CB">
        <w:trPr>
          <w:cantSplit/>
        </w:trPr>
        <w:tc>
          <w:tcPr>
            <w:tcW w:w="1560" w:type="dxa"/>
            <w:shd w:val="clear" w:color="auto" w:fill="BFBFBF" w:themeFill="background1" w:themeFillShade="BF"/>
          </w:tcPr>
          <w:p w14:paraId="6F5EEABD" w14:textId="77777777" w:rsidR="00563CE9" w:rsidRPr="00BC08CB" w:rsidRDefault="00563CE9" w:rsidP="00853B07">
            <w:pPr>
              <w:rPr>
                <w:b/>
                <w:bCs/>
                <w:sz w:val="18"/>
                <w:szCs w:val="18"/>
                <w:lang w:val="en-US"/>
              </w:rPr>
            </w:pPr>
          </w:p>
        </w:tc>
        <w:tc>
          <w:tcPr>
            <w:tcW w:w="1222" w:type="dxa"/>
            <w:shd w:val="clear" w:color="auto" w:fill="BFBFBF" w:themeFill="background1" w:themeFillShade="BF"/>
          </w:tcPr>
          <w:p w14:paraId="276059CF" w14:textId="77777777" w:rsidR="00563CE9" w:rsidRPr="00BC08CB" w:rsidRDefault="00563CE9" w:rsidP="00853B07">
            <w:pPr>
              <w:rPr>
                <w:b/>
                <w:bCs/>
                <w:sz w:val="18"/>
                <w:szCs w:val="18"/>
                <w:lang w:val="en-US"/>
              </w:rPr>
            </w:pPr>
            <w:r w:rsidRPr="00BC08CB">
              <w:rPr>
                <w:b/>
                <w:bCs/>
                <w:sz w:val="18"/>
                <w:szCs w:val="18"/>
              </w:rPr>
              <w:t>Revaluation Reserves</w:t>
            </w:r>
          </w:p>
        </w:tc>
        <w:tc>
          <w:tcPr>
            <w:tcW w:w="1223" w:type="dxa"/>
            <w:shd w:val="clear" w:color="auto" w:fill="BFBFBF" w:themeFill="background1" w:themeFillShade="BF"/>
          </w:tcPr>
          <w:p w14:paraId="36622B7F" w14:textId="77777777" w:rsidR="00563CE9" w:rsidRPr="00BC08CB" w:rsidRDefault="00563CE9" w:rsidP="00853B07">
            <w:pPr>
              <w:rPr>
                <w:b/>
                <w:bCs/>
                <w:sz w:val="18"/>
                <w:szCs w:val="18"/>
                <w:lang w:val="en-US"/>
              </w:rPr>
            </w:pPr>
            <w:r w:rsidRPr="00BC08CB">
              <w:rPr>
                <w:b/>
                <w:bCs/>
                <w:sz w:val="18"/>
                <w:szCs w:val="18"/>
              </w:rPr>
              <w:t>Operating Reserves</w:t>
            </w:r>
          </w:p>
        </w:tc>
        <w:tc>
          <w:tcPr>
            <w:tcW w:w="1222" w:type="dxa"/>
            <w:shd w:val="clear" w:color="auto" w:fill="BFBFBF" w:themeFill="background1" w:themeFillShade="BF"/>
          </w:tcPr>
          <w:p w14:paraId="6F2B840C" w14:textId="77777777" w:rsidR="00563CE9" w:rsidRPr="00BC08CB" w:rsidRDefault="00563CE9" w:rsidP="00853B07">
            <w:pPr>
              <w:rPr>
                <w:b/>
                <w:bCs/>
                <w:sz w:val="18"/>
                <w:szCs w:val="18"/>
                <w:lang w:val="en-US"/>
              </w:rPr>
            </w:pPr>
            <w:r w:rsidRPr="00BC08CB">
              <w:rPr>
                <w:b/>
                <w:bCs/>
                <w:sz w:val="18"/>
                <w:szCs w:val="18"/>
              </w:rPr>
              <w:t>Capital Reserves</w:t>
            </w:r>
          </w:p>
        </w:tc>
        <w:tc>
          <w:tcPr>
            <w:tcW w:w="1223" w:type="dxa"/>
            <w:shd w:val="clear" w:color="auto" w:fill="BFBFBF" w:themeFill="background1" w:themeFillShade="BF"/>
          </w:tcPr>
          <w:p w14:paraId="7375A330" w14:textId="77777777" w:rsidR="00563CE9" w:rsidRPr="00BC08CB" w:rsidRDefault="00563CE9" w:rsidP="00853B07">
            <w:pPr>
              <w:rPr>
                <w:b/>
                <w:bCs/>
                <w:sz w:val="18"/>
                <w:szCs w:val="18"/>
                <w:lang w:val="en-US"/>
              </w:rPr>
            </w:pPr>
            <w:r w:rsidRPr="00BC08CB">
              <w:rPr>
                <w:b/>
                <w:bCs/>
                <w:sz w:val="18"/>
                <w:szCs w:val="18"/>
              </w:rPr>
              <w:t>Hedging Reserve</w:t>
            </w:r>
          </w:p>
        </w:tc>
        <w:tc>
          <w:tcPr>
            <w:tcW w:w="1222" w:type="dxa"/>
            <w:shd w:val="clear" w:color="auto" w:fill="BFBFBF" w:themeFill="background1" w:themeFillShade="BF"/>
          </w:tcPr>
          <w:p w14:paraId="0C13C8BF" w14:textId="77777777" w:rsidR="00563CE9" w:rsidRPr="00BC08CB" w:rsidRDefault="00563CE9" w:rsidP="00853B07">
            <w:pPr>
              <w:rPr>
                <w:b/>
                <w:bCs/>
                <w:sz w:val="18"/>
                <w:szCs w:val="18"/>
                <w:lang w:val="en-US"/>
              </w:rPr>
            </w:pPr>
            <w:r w:rsidRPr="00BC08CB">
              <w:rPr>
                <w:b/>
                <w:bCs/>
                <w:sz w:val="18"/>
                <w:szCs w:val="18"/>
              </w:rPr>
              <w:t>Accumulated Funds</w:t>
            </w:r>
          </w:p>
        </w:tc>
        <w:tc>
          <w:tcPr>
            <w:tcW w:w="1223" w:type="dxa"/>
            <w:shd w:val="clear" w:color="auto" w:fill="BFBFBF" w:themeFill="background1" w:themeFillShade="BF"/>
          </w:tcPr>
          <w:p w14:paraId="6E08F8B0" w14:textId="77777777" w:rsidR="00563CE9" w:rsidRPr="00BC08CB" w:rsidRDefault="00563CE9" w:rsidP="00853B07">
            <w:pPr>
              <w:rPr>
                <w:b/>
                <w:bCs/>
                <w:sz w:val="18"/>
                <w:szCs w:val="18"/>
                <w:lang w:val="en-US"/>
              </w:rPr>
            </w:pPr>
            <w:r w:rsidRPr="00BC08CB">
              <w:rPr>
                <w:b/>
                <w:bCs/>
                <w:sz w:val="18"/>
                <w:szCs w:val="18"/>
              </w:rPr>
              <w:t>Attributable to Equity Holders of Parent</w:t>
            </w:r>
          </w:p>
        </w:tc>
        <w:tc>
          <w:tcPr>
            <w:tcW w:w="1222" w:type="dxa"/>
            <w:shd w:val="clear" w:color="auto" w:fill="BFBFBF" w:themeFill="background1" w:themeFillShade="BF"/>
          </w:tcPr>
          <w:p w14:paraId="69397CB3" w14:textId="77777777" w:rsidR="00563CE9" w:rsidRPr="00BC08CB" w:rsidRDefault="00563CE9" w:rsidP="00853B07">
            <w:pPr>
              <w:rPr>
                <w:b/>
                <w:bCs/>
                <w:sz w:val="18"/>
                <w:szCs w:val="18"/>
                <w:lang w:val="en-US"/>
              </w:rPr>
            </w:pPr>
            <w:r w:rsidRPr="00BC08CB">
              <w:rPr>
                <w:b/>
                <w:bCs/>
                <w:sz w:val="18"/>
                <w:szCs w:val="18"/>
              </w:rPr>
              <w:t>Non-Controlling Interest</w:t>
            </w:r>
          </w:p>
        </w:tc>
        <w:tc>
          <w:tcPr>
            <w:tcW w:w="1223" w:type="dxa"/>
            <w:shd w:val="clear" w:color="auto" w:fill="BFBFBF" w:themeFill="background1" w:themeFillShade="BF"/>
          </w:tcPr>
          <w:p w14:paraId="5D71CAFF" w14:textId="77777777" w:rsidR="00563CE9" w:rsidRPr="00BC08CB" w:rsidRDefault="00563CE9" w:rsidP="00853B07">
            <w:pPr>
              <w:rPr>
                <w:b/>
                <w:bCs/>
                <w:sz w:val="18"/>
                <w:szCs w:val="18"/>
              </w:rPr>
            </w:pPr>
            <w:r w:rsidRPr="00BC08CB">
              <w:rPr>
                <w:b/>
                <w:bCs/>
                <w:sz w:val="18"/>
                <w:szCs w:val="18"/>
              </w:rPr>
              <w:t>TOTAL</w:t>
            </w:r>
          </w:p>
          <w:p w14:paraId="71858F05" w14:textId="77777777" w:rsidR="00563CE9" w:rsidRPr="00BC08CB" w:rsidRDefault="00563CE9" w:rsidP="00853B07">
            <w:pPr>
              <w:rPr>
                <w:b/>
                <w:bCs/>
                <w:sz w:val="18"/>
                <w:szCs w:val="18"/>
                <w:lang w:val="en-US"/>
              </w:rPr>
            </w:pPr>
            <w:r w:rsidRPr="00BC08CB">
              <w:rPr>
                <w:b/>
                <w:bCs/>
                <w:sz w:val="18"/>
                <w:szCs w:val="18"/>
              </w:rPr>
              <w:t>EQUITY</w:t>
            </w:r>
          </w:p>
        </w:tc>
      </w:tr>
      <w:tr w:rsidR="00563CE9" w:rsidRPr="00724CAE" w14:paraId="5848DBE8" w14:textId="77777777" w:rsidTr="00BC08CB">
        <w:trPr>
          <w:cantSplit/>
          <w:trHeight w:val="15"/>
        </w:trPr>
        <w:tc>
          <w:tcPr>
            <w:tcW w:w="1560" w:type="dxa"/>
            <w:shd w:val="clear" w:color="auto" w:fill="FFFFFF" w:themeFill="background1"/>
          </w:tcPr>
          <w:p w14:paraId="66F11914" w14:textId="77777777" w:rsidR="00563CE9" w:rsidRPr="00BC08CB" w:rsidRDefault="00563CE9" w:rsidP="00853B07">
            <w:pPr>
              <w:rPr>
                <w:b/>
                <w:bCs/>
                <w:sz w:val="18"/>
                <w:szCs w:val="18"/>
              </w:rPr>
            </w:pPr>
            <w:r w:rsidRPr="00BC08CB">
              <w:rPr>
                <w:b/>
                <w:bCs/>
                <w:sz w:val="18"/>
                <w:szCs w:val="18"/>
              </w:rPr>
              <w:t>Council</w:t>
            </w:r>
          </w:p>
        </w:tc>
        <w:tc>
          <w:tcPr>
            <w:tcW w:w="1222" w:type="dxa"/>
            <w:shd w:val="clear" w:color="auto" w:fill="FFFFFF" w:themeFill="background1"/>
          </w:tcPr>
          <w:p w14:paraId="4A5C051B" w14:textId="77777777" w:rsidR="00563CE9" w:rsidRPr="00BC08CB" w:rsidRDefault="00563CE9" w:rsidP="009D2B3D">
            <w:pPr>
              <w:jc w:val="right"/>
              <w:rPr>
                <w:b/>
                <w:bCs/>
                <w:sz w:val="18"/>
                <w:szCs w:val="18"/>
              </w:rPr>
            </w:pPr>
            <w:r w:rsidRPr="00BC08CB">
              <w:rPr>
                <w:b/>
                <w:bCs/>
                <w:sz w:val="18"/>
                <w:szCs w:val="18"/>
              </w:rPr>
              <w:t>$’000</w:t>
            </w:r>
          </w:p>
        </w:tc>
        <w:tc>
          <w:tcPr>
            <w:tcW w:w="1223" w:type="dxa"/>
            <w:shd w:val="clear" w:color="auto" w:fill="FFFFFF" w:themeFill="background1"/>
          </w:tcPr>
          <w:p w14:paraId="473CCBC7" w14:textId="77777777" w:rsidR="00563CE9" w:rsidRPr="00BC08CB" w:rsidRDefault="00563CE9" w:rsidP="009D2B3D">
            <w:pPr>
              <w:jc w:val="right"/>
              <w:rPr>
                <w:b/>
                <w:bCs/>
                <w:sz w:val="18"/>
                <w:szCs w:val="18"/>
              </w:rPr>
            </w:pPr>
            <w:r w:rsidRPr="00BC08CB">
              <w:rPr>
                <w:b/>
                <w:bCs/>
                <w:sz w:val="18"/>
                <w:szCs w:val="18"/>
              </w:rPr>
              <w:t>$’000</w:t>
            </w:r>
          </w:p>
        </w:tc>
        <w:tc>
          <w:tcPr>
            <w:tcW w:w="1222" w:type="dxa"/>
            <w:shd w:val="clear" w:color="auto" w:fill="FFFFFF" w:themeFill="background1"/>
          </w:tcPr>
          <w:p w14:paraId="02626B83" w14:textId="77777777" w:rsidR="00563CE9" w:rsidRPr="00BC08CB" w:rsidRDefault="00563CE9" w:rsidP="009D2B3D">
            <w:pPr>
              <w:jc w:val="right"/>
              <w:rPr>
                <w:b/>
                <w:bCs/>
                <w:sz w:val="18"/>
                <w:szCs w:val="18"/>
              </w:rPr>
            </w:pPr>
            <w:r w:rsidRPr="00BC08CB">
              <w:rPr>
                <w:b/>
                <w:bCs/>
                <w:sz w:val="18"/>
                <w:szCs w:val="18"/>
              </w:rPr>
              <w:t>$’000</w:t>
            </w:r>
          </w:p>
        </w:tc>
        <w:tc>
          <w:tcPr>
            <w:tcW w:w="1223" w:type="dxa"/>
            <w:shd w:val="clear" w:color="auto" w:fill="FFFFFF" w:themeFill="background1"/>
          </w:tcPr>
          <w:p w14:paraId="14C32861" w14:textId="77777777" w:rsidR="00563CE9" w:rsidRPr="00BC08CB" w:rsidRDefault="00563CE9" w:rsidP="009D2B3D">
            <w:pPr>
              <w:jc w:val="right"/>
              <w:rPr>
                <w:b/>
                <w:bCs/>
                <w:sz w:val="18"/>
                <w:szCs w:val="18"/>
              </w:rPr>
            </w:pPr>
            <w:r w:rsidRPr="00BC08CB">
              <w:rPr>
                <w:b/>
                <w:bCs/>
                <w:sz w:val="18"/>
                <w:szCs w:val="18"/>
              </w:rPr>
              <w:t>$’000</w:t>
            </w:r>
          </w:p>
        </w:tc>
        <w:tc>
          <w:tcPr>
            <w:tcW w:w="1222" w:type="dxa"/>
            <w:shd w:val="clear" w:color="auto" w:fill="FFFFFF" w:themeFill="background1"/>
          </w:tcPr>
          <w:p w14:paraId="3B4F8B48" w14:textId="77777777" w:rsidR="00563CE9" w:rsidRPr="00BC08CB" w:rsidRDefault="00563CE9" w:rsidP="009D2B3D">
            <w:pPr>
              <w:jc w:val="right"/>
              <w:rPr>
                <w:b/>
                <w:bCs/>
                <w:sz w:val="18"/>
                <w:szCs w:val="18"/>
              </w:rPr>
            </w:pPr>
            <w:r w:rsidRPr="00BC08CB">
              <w:rPr>
                <w:b/>
                <w:bCs/>
                <w:sz w:val="18"/>
                <w:szCs w:val="18"/>
              </w:rPr>
              <w:t>$’000</w:t>
            </w:r>
          </w:p>
        </w:tc>
        <w:tc>
          <w:tcPr>
            <w:tcW w:w="1223" w:type="dxa"/>
            <w:shd w:val="clear" w:color="auto" w:fill="FFFFFF" w:themeFill="background1"/>
          </w:tcPr>
          <w:p w14:paraId="759F2098" w14:textId="77777777" w:rsidR="00563CE9" w:rsidRPr="00BC08CB" w:rsidRDefault="00563CE9" w:rsidP="009D2B3D">
            <w:pPr>
              <w:jc w:val="right"/>
              <w:rPr>
                <w:b/>
                <w:bCs/>
                <w:sz w:val="18"/>
                <w:szCs w:val="18"/>
              </w:rPr>
            </w:pPr>
            <w:r w:rsidRPr="00BC08CB">
              <w:rPr>
                <w:b/>
                <w:bCs/>
                <w:sz w:val="18"/>
                <w:szCs w:val="18"/>
              </w:rPr>
              <w:t>$’000</w:t>
            </w:r>
          </w:p>
        </w:tc>
        <w:tc>
          <w:tcPr>
            <w:tcW w:w="1222" w:type="dxa"/>
            <w:shd w:val="clear" w:color="auto" w:fill="FFFFFF" w:themeFill="background1"/>
          </w:tcPr>
          <w:p w14:paraId="74B26672" w14:textId="77777777" w:rsidR="00563CE9" w:rsidRPr="00BC08CB" w:rsidRDefault="00563CE9" w:rsidP="009D2B3D">
            <w:pPr>
              <w:jc w:val="right"/>
              <w:rPr>
                <w:b/>
                <w:bCs/>
                <w:sz w:val="18"/>
                <w:szCs w:val="18"/>
              </w:rPr>
            </w:pPr>
            <w:r w:rsidRPr="00BC08CB">
              <w:rPr>
                <w:b/>
                <w:bCs/>
                <w:sz w:val="18"/>
                <w:szCs w:val="18"/>
              </w:rPr>
              <w:t>$’000</w:t>
            </w:r>
          </w:p>
        </w:tc>
        <w:tc>
          <w:tcPr>
            <w:tcW w:w="1223" w:type="dxa"/>
            <w:shd w:val="clear" w:color="auto" w:fill="FFFFFF" w:themeFill="background1"/>
          </w:tcPr>
          <w:p w14:paraId="7B110DBC" w14:textId="77777777" w:rsidR="00563CE9" w:rsidRPr="00BC08CB" w:rsidRDefault="00563CE9" w:rsidP="009D2B3D">
            <w:pPr>
              <w:jc w:val="right"/>
              <w:rPr>
                <w:b/>
                <w:bCs/>
                <w:sz w:val="18"/>
                <w:szCs w:val="18"/>
              </w:rPr>
            </w:pPr>
            <w:r w:rsidRPr="00BC08CB">
              <w:rPr>
                <w:b/>
                <w:bCs/>
                <w:sz w:val="18"/>
                <w:szCs w:val="18"/>
              </w:rPr>
              <w:t>$’000</w:t>
            </w:r>
          </w:p>
        </w:tc>
      </w:tr>
      <w:tr w:rsidR="00500872" w:rsidRPr="00724CAE" w14:paraId="0FCE2C3E" w14:textId="77777777" w:rsidTr="00853B07">
        <w:trPr>
          <w:cantSplit/>
          <w:trHeight w:val="15"/>
        </w:trPr>
        <w:tc>
          <w:tcPr>
            <w:tcW w:w="11340" w:type="dxa"/>
            <w:gridSpan w:val="9"/>
            <w:shd w:val="clear" w:color="auto" w:fill="FFFFFF" w:themeFill="background1"/>
          </w:tcPr>
          <w:p w14:paraId="7E2941CC" w14:textId="6E8F5CBC" w:rsidR="00500872" w:rsidRPr="00BC08CB" w:rsidRDefault="00563CE9" w:rsidP="00853B07">
            <w:pPr>
              <w:rPr>
                <w:b/>
                <w:bCs/>
                <w:sz w:val="18"/>
                <w:szCs w:val="18"/>
              </w:rPr>
            </w:pPr>
            <w:r w:rsidRPr="00BC08CB">
              <w:rPr>
                <w:b/>
                <w:bCs/>
                <w:sz w:val="18"/>
                <w:szCs w:val="18"/>
              </w:rPr>
              <w:t>For the year ended 30 June 2025</w:t>
            </w:r>
          </w:p>
        </w:tc>
      </w:tr>
      <w:tr w:rsidR="00BC08CB" w:rsidRPr="00724CAE" w14:paraId="1B6621B8" w14:textId="77777777" w:rsidTr="00BC08CB">
        <w:trPr>
          <w:cantSplit/>
          <w:trHeight w:val="15"/>
        </w:trPr>
        <w:tc>
          <w:tcPr>
            <w:tcW w:w="1560" w:type="dxa"/>
            <w:shd w:val="clear" w:color="auto" w:fill="FFFFFF" w:themeFill="background1"/>
          </w:tcPr>
          <w:p w14:paraId="7384072F" w14:textId="5F74341B" w:rsidR="00BC08CB" w:rsidRPr="00BC08CB" w:rsidRDefault="00BC08CB" w:rsidP="00BC08CB">
            <w:pPr>
              <w:rPr>
                <w:sz w:val="18"/>
                <w:szCs w:val="18"/>
              </w:rPr>
            </w:pPr>
            <w:r w:rsidRPr="00BC08CB">
              <w:rPr>
                <w:sz w:val="18"/>
                <w:szCs w:val="18"/>
              </w:rPr>
              <w:t xml:space="preserve">Balance </w:t>
            </w:r>
            <w:proofErr w:type="gramStart"/>
            <w:r w:rsidRPr="00BC08CB">
              <w:rPr>
                <w:sz w:val="18"/>
                <w:szCs w:val="18"/>
              </w:rPr>
              <w:t>at</w:t>
            </w:r>
            <w:proofErr w:type="gramEnd"/>
            <w:r w:rsidRPr="00BC08CB">
              <w:rPr>
                <w:sz w:val="18"/>
                <w:szCs w:val="18"/>
              </w:rPr>
              <w:t xml:space="preserve"> 1 July 202</w:t>
            </w:r>
            <w:r w:rsidRPr="00BC08CB">
              <w:rPr>
                <w:sz w:val="18"/>
                <w:szCs w:val="18"/>
              </w:rPr>
              <w:t>4</w:t>
            </w:r>
          </w:p>
        </w:tc>
        <w:tc>
          <w:tcPr>
            <w:tcW w:w="1222" w:type="dxa"/>
            <w:shd w:val="clear" w:color="auto" w:fill="FFFFFF" w:themeFill="background1"/>
          </w:tcPr>
          <w:p w14:paraId="2B148CE9" w14:textId="651310B0" w:rsidR="00BC08CB" w:rsidRPr="00BC08CB" w:rsidRDefault="00BC08CB" w:rsidP="009D2B3D">
            <w:pPr>
              <w:jc w:val="right"/>
              <w:rPr>
                <w:sz w:val="18"/>
                <w:szCs w:val="18"/>
              </w:rPr>
            </w:pPr>
            <w:r w:rsidRPr="00BC08CB">
              <w:rPr>
                <w:sz w:val="18"/>
                <w:szCs w:val="18"/>
              </w:rPr>
              <w:t xml:space="preserve"> 1,629,450 </w:t>
            </w:r>
          </w:p>
        </w:tc>
        <w:tc>
          <w:tcPr>
            <w:tcW w:w="1223" w:type="dxa"/>
            <w:shd w:val="clear" w:color="auto" w:fill="FFFFFF" w:themeFill="background1"/>
          </w:tcPr>
          <w:p w14:paraId="4E6EA3C8" w14:textId="2E56930A" w:rsidR="00BC08CB" w:rsidRPr="00BC08CB" w:rsidRDefault="00BC08CB" w:rsidP="009D2B3D">
            <w:pPr>
              <w:jc w:val="right"/>
              <w:rPr>
                <w:sz w:val="18"/>
                <w:szCs w:val="18"/>
              </w:rPr>
            </w:pPr>
            <w:r w:rsidRPr="00BC08CB">
              <w:rPr>
                <w:sz w:val="18"/>
                <w:szCs w:val="18"/>
              </w:rPr>
              <w:t xml:space="preserve"> 11,029 </w:t>
            </w:r>
          </w:p>
        </w:tc>
        <w:tc>
          <w:tcPr>
            <w:tcW w:w="1222" w:type="dxa"/>
            <w:shd w:val="clear" w:color="auto" w:fill="FFFFFF" w:themeFill="background1"/>
          </w:tcPr>
          <w:p w14:paraId="058E0108" w14:textId="0568890B" w:rsidR="00BC08CB" w:rsidRPr="00BC08CB" w:rsidRDefault="00BC08CB" w:rsidP="009D2B3D">
            <w:pPr>
              <w:jc w:val="right"/>
              <w:rPr>
                <w:sz w:val="18"/>
                <w:szCs w:val="18"/>
              </w:rPr>
            </w:pPr>
            <w:r w:rsidRPr="00BC08CB">
              <w:rPr>
                <w:sz w:val="18"/>
                <w:szCs w:val="18"/>
              </w:rPr>
              <w:t xml:space="preserve"> 12,862 </w:t>
            </w:r>
          </w:p>
        </w:tc>
        <w:tc>
          <w:tcPr>
            <w:tcW w:w="1223" w:type="dxa"/>
            <w:shd w:val="clear" w:color="auto" w:fill="FFFFFF" w:themeFill="background1"/>
          </w:tcPr>
          <w:p w14:paraId="33CA4D6C" w14:textId="35CC2239" w:rsidR="00BC08CB" w:rsidRPr="00BC08CB" w:rsidRDefault="00BC08CB" w:rsidP="009D2B3D">
            <w:pPr>
              <w:jc w:val="right"/>
              <w:rPr>
                <w:sz w:val="18"/>
                <w:szCs w:val="18"/>
              </w:rPr>
            </w:pPr>
            <w:r w:rsidRPr="00BC08CB">
              <w:rPr>
                <w:sz w:val="18"/>
                <w:szCs w:val="18"/>
              </w:rPr>
              <w:t xml:space="preserve"> -   </w:t>
            </w:r>
          </w:p>
        </w:tc>
        <w:tc>
          <w:tcPr>
            <w:tcW w:w="1222" w:type="dxa"/>
            <w:shd w:val="clear" w:color="auto" w:fill="FFFFFF" w:themeFill="background1"/>
          </w:tcPr>
          <w:p w14:paraId="3C5C3C2B" w14:textId="6C8210A9" w:rsidR="00BC08CB" w:rsidRPr="00BC08CB" w:rsidRDefault="00BC08CB" w:rsidP="009D2B3D">
            <w:pPr>
              <w:jc w:val="right"/>
              <w:rPr>
                <w:sz w:val="18"/>
                <w:szCs w:val="18"/>
              </w:rPr>
            </w:pPr>
            <w:r w:rsidRPr="00BC08CB">
              <w:rPr>
                <w:sz w:val="18"/>
                <w:szCs w:val="18"/>
              </w:rPr>
              <w:t xml:space="preserve"> 883,513 </w:t>
            </w:r>
          </w:p>
        </w:tc>
        <w:tc>
          <w:tcPr>
            <w:tcW w:w="1223" w:type="dxa"/>
            <w:shd w:val="clear" w:color="auto" w:fill="FFFFFF" w:themeFill="background1"/>
          </w:tcPr>
          <w:p w14:paraId="397D17C3" w14:textId="506D3509" w:rsidR="00BC08CB" w:rsidRPr="00BC08CB" w:rsidRDefault="00BC08CB" w:rsidP="009D2B3D">
            <w:pPr>
              <w:jc w:val="right"/>
              <w:rPr>
                <w:sz w:val="18"/>
                <w:szCs w:val="18"/>
              </w:rPr>
            </w:pPr>
            <w:r w:rsidRPr="00BC08CB">
              <w:rPr>
                <w:sz w:val="18"/>
                <w:szCs w:val="18"/>
              </w:rPr>
              <w:t xml:space="preserve"> 2,536,854 </w:t>
            </w:r>
          </w:p>
        </w:tc>
        <w:tc>
          <w:tcPr>
            <w:tcW w:w="1222" w:type="dxa"/>
            <w:shd w:val="clear" w:color="auto" w:fill="FFFFFF" w:themeFill="background1"/>
          </w:tcPr>
          <w:p w14:paraId="0F055B06" w14:textId="5C380181" w:rsidR="00BC08CB" w:rsidRPr="00BC08CB" w:rsidRDefault="00BC08CB" w:rsidP="009D2B3D">
            <w:pPr>
              <w:jc w:val="right"/>
              <w:rPr>
                <w:sz w:val="18"/>
                <w:szCs w:val="18"/>
              </w:rPr>
            </w:pPr>
            <w:r w:rsidRPr="00BC08CB">
              <w:rPr>
                <w:sz w:val="18"/>
                <w:szCs w:val="18"/>
              </w:rPr>
              <w:t xml:space="preserve"> -   </w:t>
            </w:r>
          </w:p>
        </w:tc>
        <w:tc>
          <w:tcPr>
            <w:tcW w:w="1223" w:type="dxa"/>
            <w:shd w:val="clear" w:color="auto" w:fill="FFFFFF" w:themeFill="background1"/>
          </w:tcPr>
          <w:p w14:paraId="5B81BE15" w14:textId="408CBA15" w:rsidR="00BC08CB" w:rsidRPr="00BC08CB" w:rsidRDefault="00BC08CB" w:rsidP="009D2B3D">
            <w:pPr>
              <w:jc w:val="right"/>
              <w:rPr>
                <w:sz w:val="18"/>
                <w:szCs w:val="18"/>
              </w:rPr>
            </w:pPr>
            <w:r w:rsidRPr="00BC08CB">
              <w:rPr>
                <w:sz w:val="18"/>
                <w:szCs w:val="18"/>
              </w:rPr>
              <w:t xml:space="preserve"> 2,536,854 </w:t>
            </w:r>
          </w:p>
        </w:tc>
      </w:tr>
      <w:tr w:rsidR="00BC08CB" w:rsidRPr="00724CAE" w14:paraId="58B58A98" w14:textId="77777777" w:rsidTr="00BC08CB">
        <w:trPr>
          <w:cantSplit/>
          <w:trHeight w:val="15"/>
        </w:trPr>
        <w:tc>
          <w:tcPr>
            <w:tcW w:w="1560" w:type="dxa"/>
            <w:shd w:val="clear" w:color="auto" w:fill="FFFFFF" w:themeFill="background1"/>
          </w:tcPr>
          <w:p w14:paraId="38284D83" w14:textId="77777777" w:rsidR="00BC08CB" w:rsidRPr="00BC08CB" w:rsidRDefault="00BC08CB" w:rsidP="00BC08CB">
            <w:pPr>
              <w:rPr>
                <w:b/>
                <w:bCs/>
                <w:sz w:val="18"/>
                <w:szCs w:val="18"/>
              </w:rPr>
            </w:pPr>
            <w:r w:rsidRPr="00BC08CB">
              <w:rPr>
                <w:b/>
                <w:bCs/>
                <w:sz w:val="18"/>
                <w:szCs w:val="18"/>
              </w:rPr>
              <w:t>Total comprehensive revenue and expense for the year</w:t>
            </w:r>
          </w:p>
        </w:tc>
        <w:tc>
          <w:tcPr>
            <w:tcW w:w="1222" w:type="dxa"/>
            <w:shd w:val="clear" w:color="auto" w:fill="FFFFFF" w:themeFill="background1"/>
          </w:tcPr>
          <w:p w14:paraId="7D3260DF" w14:textId="2A61B137" w:rsidR="00BC08CB" w:rsidRPr="00BC08CB" w:rsidRDefault="00BC08CB" w:rsidP="009D2B3D">
            <w:pPr>
              <w:jc w:val="right"/>
              <w:rPr>
                <w:sz w:val="18"/>
                <w:szCs w:val="18"/>
              </w:rPr>
            </w:pPr>
            <w:r w:rsidRPr="00BC08CB">
              <w:rPr>
                <w:sz w:val="18"/>
                <w:szCs w:val="18"/>
              </w:rPr>
              <w:t xml:space="preserve"> 64,530 </w:t>
            </w:r>
          </w:p>
        </w:tc>
        <w:tc>
          <w:tcPr>
            <w:tcW w:w="1223" w:type="dxa"/>
            <w:shd w:val="clear" w:color="auto" w:fill="FFFFFF" w:themeFill="background1"/>
          </w:tcPr>
          <w:p w14:paraId="10BB3364" w14:textId="0592C124" w:rsidR="00BC08CB" w:rsidRPr="00BC08CB" w:rsidRDefault="00BC08CB" w:rsidP="009D2B3D">
            <w:pPr>
              <w:jc w:val="right"/>
              <w:rPr>
                <w:sz w:val="18"/>
                <w:szCs w:val="18"/>
              </w:rPr>
            </w:pPr>
            <w:r w:rsidRPr="00BC08CB">
              <w:rPr>
                <w:sz w:val="18"/>
                <w:szCs w:val="18"/>
              </w:rPr>
              <w:t xml:space="preserve"> -   </w:t>
            </w:r>
          </w:p>
        </w:tc>
        <w:tc>
          <w:tcPr>
            <w:tcW w:w="1222" w:type="dxa"/>
            <w:shd w:val="clear" w:color="auto" w:fill="FFFFFF" w:themeFill="background1"/>
          </w:tcPr>
          <w:p w14:paraId="78AF37DA" w14:textId="592C180B" w:rsidR="00BC08CB" w:rsidRPr="00BC08CB" w:rsidRDefault="00BC08CB" w:rsidP="009D2B3D">
            <w:pPr>
              <w:jc w:val="right"/>
              <w:rPr>
                <w:sz w:val="18"/>
                <w:szCs w:val="18"/>
              </w:rPr>
            </w:pPr>
            <w:r w:rsidRPr="00BC08CB">
              <w:rPr>
                <w:sz w:val="18"/>
                <w:szCs w:val="18"/>
              </w:rPr>
              <w:t xml:space="preserve"> -   </w:t>
            </w:r>
          </w:p>
        </w:tc>
        <w:tc>
          <w:tcPr>
            <w:tcW w:w="1223" w:type="dxa"/>
            <w:shd w:val="clear" w:color="auto" w:fill="FFFFFF" w:themeFill="background1"/>
          </w:tcPr>
          <w:p w14:paraId="74FE8CB2" w14:textId="14256A6E" w:rsidR="00BC08CB" w:rsidRPr="00BC08CB" w:rsidRDefault="00BC08CB" w:rsidP="009D2B3D">
            <w:pPr>
              <w:jc w:val="right"/>
              <w:rPr>
                <w:sz w:val="18"/>
                <w:szCs w:val="18"/>
              </w:rPr>
            </w:pPr>
            <w:r w:rsidRPr="00BC08CB">
              <w:rPr>
                <w:sz w:val="18"/>
                <w:szCs w:val="18"/>
              </w:rPr>
              <w:t xml:space="preserve"> -   </w:t>
            </w:r>
          </w:p>
        </w:tc>
        <w:tc>
          <w:tcPr>
            <w:tcW w:w="1222" w:type="dxa"/>
            <w:shd w:val="clear" w:color="auto" w:fill="FFFFFF" w:themeFill="background1"/>
          </w:tcPr>
          <w:p w14:paraId="1660A08A" w14:textId="4F34744B" w:rsidR="00BC08CB" w:rsidRPr="00BC08CB" w:rsidRDefault="00BC08CB" w:rsidP="009D2B3D">
            <w:pPr>
              <w:jc w:val="right"/>
              <w:rPr>
                <w:sz w:val="18"/>
                <w:szCs w:val="18"/>
              </w:rPr>
            </w:pPr>
            <w:r w:rsidRPr="00BC08CB">
              <w:rPr>
                <w:sz w:val="18"/>
                <w:szCs w:val="18"/>
              </w:rPr>
              <w:t xml:space="preserve"> 53,622 </w:t>
            </w:r>
          </w:p>
        </w:tc>
        <w:tc>
          <w:tcPr>
            <w:tcW w:w="1223" w:type="dxa"/>
            <w:shd w:val="clear" w:color="auto" w:fill="FFFFFF" w:themeFill="background1"/>
          </w:tcPr>
          <w:p w14:paraId="13FB95EB" w14:textId="7A869E40" w:rsidR="00BC08CB" w:rsidRPr="00BC08CB" w:rsidRDefault="00BC08CB" w:rsidP="009D2B3D">
            <w:pPr>
              <w:jc w:val="right"/>
              <w:rPr>
                <w:sz w:val="18"/>
                <w:szCs w:val="18"/>
              </w:rPr>
            </w:pPr>
            <w:r w:rsidRPr="00BC08CB">
              <w:rPr>
                <w:sz w:val="18"/>
                <w:szCs w:val="18"/>
              </w:rPr>
              <w:t xml:space="preserve"> 118,152 </w:t>
            </w:r>
          </w:p>
        </w:tc>
        <w:tc>
          <w:tcPr>
            <w:tcW w:w="1222" w:type="dxa"/>
            <w:shd w:val="clear" w:color="auto" w:fill="FFFFFF" w:themeFill="background1"/>
          </w:tcPr>
          <w:p w14:paraId="35B30C4C" w14:textId="42C4F787" w:rsidR="00BC08CB" w:rsidRPr="00BC08CB" w:rsidRDefault="00BC08CB" w:rsidP="009D2B3D">
            <w:pPr>
              <w:jc w:val="right"/>
              <w:rPr>
                <w:sz w:val="18"/>
                <w:szCs w:val="18"/>
              </w:rPr>
            </w:pPr>
            <w:r w:rsidRPr="00BC08CB">
              <w:rPr>
                <w:sz w:val="18"/>
                <w:szCs w:val="18"/>
              </w:rPr>
              <w:t xml:space="preserve"> -   </w:t>
            </w:r>
          </w:p>
        </w:tc>
        <w:tc>
          <w:tcPr>
            <w:tcW w:w="1223" w:type="dxa"/>
            <w:shd w:val="clear" w:color="auto" w:fill="FFFFFF" w:themeFill="background1"/>
          </w:tcPr>
          <w:p w14:paraId="30EB94BB" w14:textId="00E3AEFE" w:rsidR="00BC08CB" w:rsidRPr="00BC08CB" w:rsidRDefault="00BC08CB" w:rsidP="009D2B3D">
            <w:pPr>
              <w:jc w:val="right"/>
              <w:rPr>
                <w:sz w:val="18"/>
                <w:szCs w:val="18"/>
              </w:rPr>
            </w:pPr>
            <w:r w:rsidRPr="00BC08CB">
              <w:rPr>
                <w:sz w:val="18"/>
                <w:szCs w:val="18"/>
              </w:rPr>
              <w:t xml:space="preserve"> 118,152 </w:t>
            </w:r>
          </w:p>
        </w:tc>
      </w:tr>
      <w:tr w:rsidR="00BC08CB" w:rsidRPr="00724CAE" w14:paraId="5A24EDBC" w14:textId="77777777" w:rsidTr="00BC08CB">
        <w:trPr>
          <w:cantSplit/>
          <w:trHeight w:val="15"/>
        </w:trPr>
        <w:tc>
          <w:tcPr>
            <w:tcW w:w="1560" w:type="dxa"/>
            <w:shd w:val="clear" w:color="auto" w:fill="FFFFFF" w:themeFill="background1"/>
          </w:tcPr>
          <w:p w14:paraId="4792E00E" w14:textId="77777777" w:rsidR="00BC08CB" w:rsidRPr="00BC08CB" w:rsidRDefault="00BC08CB" w:rsidP="00BC08CB">
            <w:pPr>
              <w:rPr>
                <w:sz w:val="18"/>
                <w:szCs w:val="18"/>
              </w:rPr>
            </w:pPr>
            <w:r w:rsidRPr="00BC08CB">
              <w:rPr>
                <w:sz w:val="18"/>
                <w:szCs w:val="18"/>
              </w:rPr>
              <w:t>Transfers from/(to) accumulated funds</w:t>
            </w:r>
          </w:p>
        </w:tc>
        <w:tc>
          <w:tcPr>
            <w:tcW w:w="1222" w:type="dxa"/>
            <w:shd w:val="clear" w:color="auto" w:fill="FFFFFF" w:themeFill="background1"/>
          </w:tcPr>
          <w:p w14:paraId="68AA5612" w14:textId="1F33CA0A" w:rsidR="00BC08CB" w:rsidRPr="00BC08CB" w:rsidRDefault="00BC08CB" w:rsidP="009D2B3D">
            <w:pPr>
              <w:jc w:val="right"/>
              <w:rPr>
                <w:sz w:val="18"/>
                <w:szCs w:val="18"/>
              </w:rPr>
            </w:pPr>
            <w:r w:rsidRPr="00BC08CB">
              <w:rPr>
                <w:sz w:val="18"/>
                <w:szCs w:val="18"/>
              </w:rPr>
              <w:t xml:space="preserve"> 3,460 </w:t>
            </w:r>
          </w:p>
        </w:tc>
        <w:tc>
          <w:tcPr>
            <w:tcW w:w="1223" w:type="dxa"/>
            <w:shd w:val="clear" w:color="auto" w:fill="FFFFFF" w:themeFill="background1"/>
          </w:tcPr>
          <w:p w14:paraId="69B4DA56" w14:textId="01B02A22" w:rsidR="00BC08CB" w:rsidRPr="00BC08CB" w:rsidRDefault="00BC08CB" w:rsidP="009D2B3D">
            <w:pPr>
              <w:jc w:val="right"/>
              <w:rPr>
                <w:sz w:val="18"/>
                <w:szCs w:val="18"/>
              </w:rPr>
            </w:pPr>
            <w:r w:rsidRPr="00BC08CB">
              <w:rPr>
                <w:sz w:val="18"/>
                <w:szCs w:val="18"/>
              </w:rPr>
              <w:t xml:space="preserve"> 4,500 </w:t>
            </w:r>
          </w:p>
        </w:tc>
        <w:tc>
          <w:tcPr>
            <w:tcW w:w="1222" w:type="dxa"/>
            <w:shd w:val="clear" w:color="auto" w:fill="FFFFFF" w:themeFill="background1"/>
          </w:tcPr>
          <w:p w14:paraId="5A29015D" w14:textId="4E5A4134" w:rsidR="00BC08CB" w:rsidRPr="00BC08CB" w:rsidRDefault="00BC08CB" w:rsidP="009D2B3D">
            <w:pPr>
              <w:jc w:val="right"/>
              <w:rPr>
                <w:sz w:val="18"/>
                <w:szCs w:val="18"/>
              </w:rPr>
            </w:pPr>
            <w:r w:rsidRPr="00BC08CB">
              <w:rPr>
                <w:sz w:val="18"/>
                <w:szCs w:val="18"/>
              </w:rPr>
              <w:t xml:space="preserve"> 16,314 </w:t>
            </w:r>
          </w:p>
        </w:tc>
        <w:tc>
          <w:tcPr>
            <w:tcW w:w="1223" w:type="dxa"/>
            <w:shd w:val="clear" w:color="auto" w:fill="FFFFFF" w:themeFill="background1"/>
          </w:tcPr>
          <w:p w14:paraId="72262ABE" w14:textId="2B0DAFC0" w:rsidR="00BC08CB" w:rsidRPr="00BC08CB" w:rsidRDefault="00BC08CB" w:rsidP="009D2B3D">
            <w:pPr>
              <w:jc w:val="right"/>
              <w:rPr>
                <w:sz w:val="18"/>
                <w:szCs w:val="18"/>
              </w:rPr>
            </w:pPr>
            <w:r w:rsidRPr="00BC08CB">
              <w:rPr>
                <w:sz w:val="18"/>
                <w:szCs w:val="18"/>
              </w:rPr>
              <w:t xml:space="preserve"> -   </w:t>
            </w:r>
          </w:p>
        </w:tc>
        <w:tc>
          <w:tcPr>
            <w:tcW w:w="1222" w:type="dxa"/>
            <w:shd w:val="clear" w:color="auto" w:fill="FFFFFF" w:themeFill="background1"/>
          </w:tcPr>
          <w:p w14:paraId="42CDC08F" w14:textId="1C35C5EA" w:rsidR="00BC08CB" w:rsidRPr="00BC08CB" w:rsidRDefault="00BC08CB" w:rsidP="009D2B3D">
            <w:pPr>
              <w:jc w:val="right"/>
              <w:rPr>
                <w:sz w:val="18"/>
                <w:szCs w:val="18"/>
              </w:rPr>
            </w:pPr>
            <w:r w:rsidRPr="00BC08CB">
              <w:rPr>
                <w:sz w:val="18"/>
                <w:szCs w:val="18"/>
              </w:rPr>
              <w:t xml:space="preserve"> (24,274)</w:t>
            </w:r>
          </w:p>
        </w:tc>
        <w:tc>
          <w:tcPr>
            <w:tcW w:w="1223" w:type="dxa"/>
            <w:shd w:val="clear" w:color="auto" w:fill="FFFFFF" w:themeFill="background1"/>
          </w:tcPr>
          <w:p w14:paraId="6A6117BF" w14:textId="6850EFA9" w:rsidR="00BC08CB" w:rsidRPr="00BC08CB" w:rsidRDefault="00BC08CB" w:rsidP="009D2B3D">
            <w:pPr>
              <w:jc w:val="right"/>
              <w:rPr>
                <w:sz w:val="18"/>
                <w:szCs w:val="18"/>
              </w:rPr>
            </w:pPr>
            <w:r w:rsidRPr="00BC08CB">
              <w:rPr>
                <w:sz w:val="18"/>
                <w:szCs w:val="18"/>
              </w:rPr>
              <w:t xml:space="preserve"> -   </w:t>
            </w:r>
          </w:p>
        </w:tc>
        <w:tc>
          <w:tcPr>
            <w:tcW w:w="1222" w:type="dxa"/>
            <w:shd w:val="clear" w:color="auto" w:fill="FFFFFF" w:themeFill="background1"/>
          </w:tcPr>
          <w:p w14:paraId="29D8E683" w14:textId="216C0CBD" w:rsidR="00BC08CB" w:rsidRPr="00BC08CB" w:rsidRDefault="00BC08CB" w:rsidP="009D2B3D">
            <w:pPr>
              <w:jc w:val="right"/>
              <w:rPr>
                <w:sz w:val="18"/>
                <w:szCs w:val="18"/>
              </w:rPr>
            </w:pPr>
            <w:r w:rsidRPr="00BC08CB">
              <w:rPr>
                <w:sz w:val="18"/>
                <w:szCs w:val="18"/>
              </w:rPr>
              <w:t xml:space="preserve"> -   </w:t>
            </w:r>
          </w:p>
        </w:tc>
        <w:tc>
          <w:tcPr>
            <w:tcW w:w="1223" w:type="dxa"/>
            <w:shd w:val="clear" w:color="auto" w:fill="FFFFFF" w:themeFill="background1"/>
          </w:tcPr>
          <w:p w14:paraId="010FE731" w14:textId="09C4C567" w:rsidR="00BC08CB" w:rsidRPr="00BC08CB" w:rsidRDefault="00BC08CB" w:rsidP="009D2B3D">
            <w:pPr>
              <w:jc w:val="right"/>
              <w:rPr>
                <w:sz w:val="18"/>
                <w:szCs w:val="18"/>
              </w:rPr>
            </w:pPr>
            <w:r w:rsidRPr="00BC08CB">
              <w:rPr>
                <w:sz w:val="18"/>
                <w:szCs w:val="18"/>
              </w:rPr>
              <w:t xml:space="preserve"> -   </w:t>
            </w:r>
          </w:p>
        </w:tc>
      </w:tr>
      <w:tr w:rsidR="00BC08CB" w:rsidRPr="00724CAE" w14:paraId="5BD56C1A" w14:textId="77777777" w:rsidTr="00BC08CB">
        <w:trPr>
          <w:cantSplit/>
          <w:trHeight w:val="15"/>
        </w:trPr>
        <w:tc>
          <w:tcPr>
            <w:tcW w:w="1560" w:type="dxa"/>
            <w:shd w:val="clear" w:color="auto" w:fill="D9D9D9" w:themeFill="background1" w:themeFillShade="D9"/>
          </w:tcPr>
          <w:p w14:paraId="55C12235" w14:textId="7F1DA67A" w:rsidR="00BC08CB" w:rsidRPr="00BC08CB" w:rsidRDefault="00BC08CB" w:rsidP="00BC08CB">
            <w:pPr>
              <w:rPr>
                <w:b/>
                <w:bCs/>
                <w:sz w:val="18"/>
                <w:szCs w:val="18"/>
              </w:rPr>
            </w:pPr>
            <w:r w:rsidRPr="00BC08CB">
              <w:rPr>
                <w:b/>
                <w:bCs/>
                <w:sz w:val="18"/>
                <w:szCs w:val="18"/>
              </w:rPr>
              <w:t xml:space="preserve">Balance </w:t>
            </w:r>
            <w:proofErr w:type="gramStart"/>
            <w:r w:rsidRPr="00BC08CB">
              <w:rPr>
                <w:b/>
                <w:bCs/>
                <w:sz w:val="18"/>
                <w:szCs w:val="18"/>
              </w:rPr>
              <w:t>at</w:t>
            </w:r>
            <w:proofErr w:type="gramEnd"/>
            <w:r w:rsidRPr="00BC08CB">
              <w:rPr>
                <w:b/>
                <w:bCs/>
                <w:sz w:val="18"/>
                <w:szCs w:val="18"/>
              </w:rPr>
              <w:t xml:space="preserve"> 30 June 202</w:t>
            </w:r>
            <w:r w:rsidRPr="00BC08CB">
              <w:rPr>
                <w:b/>
                <w:bCs/>
                <w:sz w:val="18"/>
                <w:szCs w:val="18"/>
              </w:rPr>
              <w:t>5</w:t>
            </w:r>
          </w:p>
        </w:tc>
        <w:tc>
          <w:tcPr>
            <w:tcW w:w="1222" w:type="dxa"/>
            <w:shd w:val="clear" w:color="auto" w:fill="D9D9D9" w:themeFill="background1" w:themeFillShade="D9"/>
          </w:tcPr>
          <w:p w14:paraId="6D4A398C" w14:textId="0EEA1847" w:rsidR="00BC08CB" w:rsidRPr="00BC08CB" w:rsidRDefault="00BC08CB" w:rsidP="009D2B3D">
            <w:pPr>
              <w:jc w:val="right"/>
              <w:rPr>
                <w:b/>
                <w:bCs/>
                <w:sz w:val="18"/>
                <w:szCs w:val="18"/>
              </w:rPr>
            </w:pPr>
            <w:r w:rsidRPr="00BC08CB">
              <w:rPr>
                <w:b/>
                <w:bCs/>
                <w:sz w:val="18"/>
                <w:szCs w:val="18"/>
              </w:rPr>
              <w:t xml:space="preserve"> 1,697,440 </w:t>
            </w:r>
          </w:p>
        </w:tc>
        <w:tc>
          <w:tcPr>
            <w:tcW w:w="1223" w:type="dxa"/>
            <w:shd w:val="clear" w:color="auto" w:fill="D9D9D9" w:themeFill="background1" w:themeFillShade="D9"/>
          </w:tcPr>
          <w:p w14:paraId="538E9815" w14:textId="5D2E42A6" w:rsidR="00BC08CB" w:rsidRPr="00BC08CB" w:rsidRDefault="00BC08CB" w:rsidP="009D2B3D">
            <w:pPr>
              <w:jc w:val="right"/>
              <w:rPr>
                <w:b/>
                <w:bCs/>
                <w:sz w:val="18"/>
                <w:szCs w:val="18"/>
              </w:rPr>
            </w:pPr>
            <w:r w:rsidRPr="00BC08CB">
              <w:rPr>
                <w:b/>
                <w:bCs/>
                <w:sz w:val="18"/>
                <w:szCs w:val="18"/>
              </w:rPr>
              <w:t xml:space="preserve"> 15,529 </w:t>
            </w:r>
          </w:p>
        </w:tc>
        <w:tc>
          <w:tcPr>
            <w:tcW w:w="1222" w:type="dxa"/>
            <w:shd w:val="clear" w:color="auto" w:fill="D9D9D9" w:themeFill="background1" w:themeFillShade="D9"/>
          </w:tcPr>
          <w:p w14:paraId="206D50F2" w14:textId="20493749" w:rsidR="00BC08CB" w:rsidRPr="00BC08CB" w:rsidRDefault="00BC08CB" w:rsidP="009D2B3D">
            <w:pPr>
              <w:jc w:val="right"/>
              <w:rPr>
                <w:b/>
                <w:bCs/>
                <w:sz w:val="18"/>
                <w:szCs w:val="18"/>
              </w:rPr>
            </w:pPr>
            <w:r w:rsidRPr="00BC08CB">
              <w:rPr>
                <w:b/>
                <w:bCs/>
                <w:sz w:val="18"/>
                <w:szCs w:val="18"/>
              </w:rPr>
              <w:t xml:space="preserve"> 29,176 </w:t>
            </w:r>
          </w:p>
        </w:tc>
        <w:tc>
          <w:tcPr>
            <w:tcW w:w="1223" w:type="dxa"/>
            <w:shd w:val="clear" w:color="auto" w:fill="D9D9D9" w:themeFill="background1" w:themeFillShade="D9"/>
          </w:tcPr>
          <w:p w14:paraId="1CC71C4C" w14:textId="69CF77BB" w:rsidR="00BC08CB" w:rsidRPr="00BC08CB" w:rsidRDefault="00BC08CB" w:rsidP="009D2B3D">
            <w:pPr>
              <w:jc w:val="right"/>
              <w:rPr>
                <w:b/>
                <w:bCs/>
                <w:sz w:val="18"/>
                <w:szCs w:val="18"/>
              </w:rPr>
            </w:pPr>
            <w:r w:rsidRPr="00BC08CB">
              <w:rPr>
                <w:b/>
                <w:bCs/>
                <w:sz w:val="18"/>
                <w:szCs w:val="18"/>
              </w:rPr>
              <w:t xml:space="preserve"> -   </w:t>
            </w:r>
          </w:p>
        </w:tc>
        <w:tc>
          <w:tcPr>
            <w:tcW w:w="1222" w:type="dxa"/>
            <w:shd w:val="clear" w:color="auto" w:fill="D9D9D9" w:themeFill="background1" w:themeFillShade="D9"/>
          </w:tcPr>
          <w:p w14:paraId="04E795E3" w14:textId="15A2C427" w:rsidR="00BC08CB" w:rsidRPr="00BC08CB" w:rsidRDefault="00BC08CB" w:rsidP="009D2B3D">
            <w:pPr>
              <w:jc w:val="right"/>
              <w:rPr>
                <w:b/>
                <w:bCs/>
                <w:sz w:val="18"/>
                <w:szCs w:val="18"/>
              </w:rPr>
            </w:pPr>
            <w:r w:rsidRPr="00BC08CB">
              <w:rPr>
                <w:b/>
                <w:bCs/>
                <w:sz w:val="18"/>
                <w:szCs w:val="18"/>
              </w:rPr>
              <w:t xml:space="preserve"> 912,861 </w:t>
            </w:r>
          </w:p>
        </w:tc>
        <w:tc>
          <w:tcPr>
            <w:tcW w:w="1223" w:type="dxa"/>
            <w:shd w:val="clear" w:color="auto" w:fill="D9D9D9" w:themeFill="background1" w:themeFillShade="D9"/>
          </w:tcPr>
          <w:p w14:paraId="436DE920" w14:textId="1468B59A" w:rsidR="00BC08CB" w:rsidRPr="00BC08CB" w:rsidRDefault="00BC08CB" w:rsidP="009D2B3D">
            <w:pPr>
              <w:jc w:val="right"/>
              <w:rPr>
                <w:b/>
                <w:bCs/>
                <w:sz w:val="18"/>
                <w:szCs w:val="18"/>
              </w:rPr>
            </w:pPr>
            <w:r w:rsidRPr="00BC08CB">
              <w:rPr>
                <w:b/>
                <w:bCs/>
                <w:sz w:val="18"/>
                <w:szCs w:val="18"/>
              </w:rPr>
              <w:t xml:space="preserve"> 2,655,006 </w:t>
            </w:r>
          </w:p>
        </w:tc>
        <w:tc>
          <w:tcPr>
            <w:tcW w:w="1222" w:type="dxa"/>
            <w:shd w:val="clear" w:color="auto" w:fill="D9D9D9" w:themeFill="background1" w:themeFillShade="D9"/>
          </w:tcPr>
          <w:p w14:paraId="6A954B49" w14:textId="2446F6E0" w:rsidR="00BC08CB" w:rsidRPr="00BC08CB" w:rsidRDefault="00BC08CB" w:rsidP="009D2B3D">
            <w:pPr>
              <w:jc w:val="right"/>
              <w:rPr>
                <w:b/>
                <w:bCs/>
                <w:sz w:val="18"/>
                <w:szCs w:val="18"/>
              </w:rPr>
            </w:pPr>
            <w:r w:rsidRPr="00BC08CB">
              <w:rPr>
                <w:b/>
                <w:bCs/>
                <w:sz w:val="18"/>
                <w:szCs w:val="18"/>
              </w:rPr>
              <w:t xml:space="preserve"> -   </w:t>
            </w:r>
          </w:p>
        </w:tc>
        <w:tc>
          <w:tcPr>
            <w:tcW w:w="1223" w:type="dxa"/>
            <w:shd w:val="clear" w:color="auto" w:fill="D9D9D9" w:themeFill="background1" w:themeFillShade="D9"/>
          </w:tcPr>
          <w:p w14:paraId="7C76277A" w14:textId="45CD6FD0" w:rsidR="00BC08CB" w:rsidRPr="00BC08CB" w:rsidRDefault="00BC08CB" w:rsidP="009D2B3D">
            <w:pPr>
              <w:jc w:val="right"/>
              <w:rPr>
                <w:b/>
                <w:bCs/>
                <w:sz w:val="18"/>
                <w:szCs w:val="18"/>
              </w:rPr>
            </w:pPr>
            <w:r w:rsidRPr="00BC08CB">
              <w:rPr>
                <w:b/>
                <w:bCs/>
                <w:sz w:val="18"/>
                <w:szCs w:val="18"/>
              </w:rPr>
              <w:t xml:space="preserve"> 2,655,006 </w:t>
            </w:r>
          </w:p>
        </w:tc>
      </w:tr>
      <w:tr w:rsidR="00500872" w:rsidRPr="00724CAE" w14:paraId="30753BE9" w14:textId="77777777" w:rsidTr="00853B07">
        <w:trPr>
          <w:cantSplit/>
          <w:trHeight w:val="15"/>
        </w:trPr>
        <w:tc>
          <w:tcPr>
            <w:tcW w:w="11340" w:type="dxa"/>
            <w:gridSpan w:val="9"/>
            <w:shd w:val="clear" w:color="auto" w:fill="FFFFFF" w:themeFill="background1"/>
          </w:tcPr>
          <w:p w14:paraId="25A11A28" w14:textId="1C552E4F" w:rsidR="00500872" w:rsidRPr="00BC08CB" w:rsidRDefault="00BC08CB" w:rsidP="00853B07">
            <w:pPr>
              <w:rPr>
                <w:b/>
                <w:bCs/>
                <w:sz w:val="18"/>
                <w:szCs w:val="18"/>
              </w:rPr>
            </w:pPr>
            <w:r w:rsidRPr="00BC08CB">
              <w:rPr>
                <w:b/>
                <w:bCs/>
                <w:sz w:val="18"/>
                <w:szCs w:val="18"/>
              </w:rPr>
              <w:t>For the year ended 30 June 2024 Restated (</w:t>
            </w:r>
            <w:proofErr w:type="spellStart"/>
            <w:r w:rsidRPr="00BC08CB">
              <w:rPr>
                <w:b/>
                <w:bCs/>
                <w:sz w:val="18"/>
                <w:szCs w:val="18"/>
              </w:rPr>
              <w:t>i</w:t>
            </w:r>
            <w:proofErr w:type="spellEnd"/>
            <w:r w:rsidRPr="00BC08CB">
              <w:rPr>
                <w:b/>
                <w:bCs/>
                <w:sz w:val="18"/>
                <w:szCs w:val="18"/>
              </w:rPr>
              <w:t>)</w:t>
            </w:r>
          </w:p>
        </w:tc>
      </w:tr>
      <w:tr w:rsidR="00BC08CB" w:rsidRPr="00724CAE" w14:paraId="6D5121D9" w14:textId="77777777" w:rsidTr="00BC08CB">
        <w:trPr>
          <w:cantSplit/>
          <w:trHeight w:val="15"/>
        </w:trPr>
        <w:tc>
          <w:tcPr>
            <w:tcW w:w="1560" w:type="dxa"/>
            <w:shd w:val="clear" w:color="auto" w:fill="FFFFFF" w:themeFill="background1"/>
          </w:tcPr>
          <w:p w14:paraId="1C882925" w14:textId="33185345" w:rsidR="00BC08CB" w:rsidRPr="00BC08CB" w:rsidRDefault="00BC08CB" w:rsidP="00BC08CB">
            <w:pPr>
              <w:rPr>
                <w:sz w:val="18"/>
                <w:szCs w:val="18"/>
              </w:rPr>
            </w:pPr>
            <w:r w:rsidRPr="00BC08CB">
              <w:rPr>
                <w:sz w:val="18"/>
                <w:szCs w:val="18"/>
              </w:rPr>
              <w:t xml:space="preserve">Balance </w:t>
            </w:r>
            <w:proofErr w:type="gramStart"/>
            <w:r w:rsidRPr="00BC08CB">
              <w:rPr>
                <w:sz w:val="18"/>
                <w:szCs w:val="18"/>
              </w:rPr>
              <w:t>at</w:t>
            </w:r>
            <w:proofErr w:type="gramEnd"/>
            <w:r w:rsidRPr="00BC08CB">
              <w:rPr>
                <w:sz w:val="18"/>
                <w:szCs w:val="18"/>
              </w:rPr>
              <w:t xml:space="preserve"> 1 July 2023</w:t>
            </w:r>
          </w:p>
        </w:tc>
        <w:tc>
          <w:tcPr>
            <w:tcW w:w="1222" w:type="dxa"/>
            <w:shd w:val="clear" w:color="auto" w:fill="FFFFFF" w:themeFill="background1"/>
          </w:tcPr>
          <w:p w14:paraId="2E9F3F91" w14:textId="714F3BFE" w:rsidR="00BC08CB" w:rsidRPr="00BC08CB" w:rsidRDefault="00BC08CB" w:rsidP="009D2B3D">
            <w:pPr>
              <w:jc w:val="right"/>
              <w:rPr>
                <w:sz w:val="18"/>
                <w:szCs w:val="18"/>
              </w:rPr>
            </w:pPr>
            <w:r w:rsidRPr="00BC08CB">
              <w:rPr>
                <w:sz w:val="18"/>
                <w:szCs w:val="18"/>
              </w:rPr>
              <w:t xml:space="preserve"> 1,638,122 </w:t>
            </w:r>
          </w:p>
        </w:tc>
        <w:tc>
          <w:tcPr>
            <w:tcW w:w="1223" w:type="dxa"/>
            <w:shd w:val="clear" w:color="auto" w:fill="FFFFFF" w:themeFill="background1"/>
          </w:tcPr>
          <w:p w14:paraId="2E567053" w14:textId="0AD068A8" w:rsidR="00BC08CB" w:rsidRPr="00BC08CB" w:rsidRDefault="00BC08CB" w:rsidP="009D2B3D">
            <w:pPr>
              <w:jc w:val="right"/>
              <w:rPr>
                <w:sz w:val="18"/>
                <w:szCs w:val="18"/>
              </w:rPr>
            </w:pPr>
            <w:r w:rsidRPr="00BC08CB">
              <w:rPr>
                <w:sz w:val="18"/>
                <w:szCs w:val="18"/>
              </w:rPr>
              <w:t xml:space="preserve"> 21,000 </w:t>
            </w:r>
          </w:p>
        </w:tc>
        <w:tc>
          <w:tcPr>
            <w:tcW w:w="1222" w:type="dxa"/>
            <w:shd w:val="clear" w:color="auto" w:fill="FFFFFF" w:themeFill="background1"/>
          </w:tcPr>
          <w:p w14:paraId="451FE10A" w14:textId="090AFAB9" w:rsidR="00BC08CB" w:rsidRPr="00BC08CB" w:rsidRDefault="00BC08CB" w:rsidP="009D2B3D">
            <w:pPr>
              <w:jc w:val="right"/>
              <w:rPr>
                <w:sz w:val="18"/>
                <w:szCs w:val="18"/>
              </w:rPr>
            </w:pPr>
            <w:r w:rsidRPr="00BC08CB">
              <w:rPr>
                <w:sz w:val="18"/>
                <w:szCs w:val="18"/>
              </w:rPr>
              <w:t xml:space="preserve"> 22,425 </w:t>
            </w:r>
          </w:p>
        </w:tc>
        <w:tc>
          <w:tcPr>
            <w:tcW w:w="1223" w:type="dxa"/>
            <w:shd w:val="clear" w:color="auto" w:fill="FFFFFF" w:themeFill="background1"/>
          </w:tcPr>
          <w:p w14:paraId="73092202" w14:textId="320BDCE3" w:rsidR="00BC08CB" w:rsidRPr="00BC08CB" w:rsidRDefault="00BC08CB" w:rsidP="009D2B3D">
            <w:pPr>
              <w:jc w:val="right"/>
              <w:rPr>
                <w:sz w:val="18"/>
                <w:szCs w:val="18"/>
              </w:rPr>
            </w:pPr>
            <w:r w:rsidRPr="00BC08CB">
              <w:rPr>
                <w:sz w:val="18"/>
                <w:szCs w:val="18"/>
              </w:rPr>
              <w:t xml:space="preserve"> -   </w:t>
            </w:r>
          </w:p>
        </w:tc>
        <w:tc>
          <w:tcPr>
            <w:tcW w:w="1222" w:type="dxa"/>
            <w:shd w:val="clear" w:color="auto" w:fill="FFFFFF" w:themeFill="background1"/>
          </w:tcPr>
          <w:p w14:paraId="55313A0A" w14:textId="1ED4FAC5" w:rsidR="00BC08CB" w:rsidRPr="00BC08CB" w:rsidRDefault="00BC08CB" w:rsidP="009D2B3D">
            <w:pPr>
              <w:jc w:val="right"/>
              <w:rPr>
                <w:sz w:val="18"/>
                <w:szCs w:val="18"/>
              </w:rPr>
            </w:pPr>
            <w:r w:rsidRPr="00BC08CB">
              <w:rPr>
                <w:sz w:val="18"/>
                <w:szCs w:val="18"/>
              </w:rPr>
              <w:t xml:space="preserve"> 769,632 </w:t>
            </w:r>
          </w:p>
        </w:tc>
        <w:tc>
          <w:tcPr>
            <w:tcW w:w="1223" w:type="dxa"/>
            <w:shd w:val="clear" w:color="auto" w:fill="FFFFFF" w:themeFill="background1"/>
          </w:tcPr>
          <w:p w14:paraId="5C8C7330" w14:textId="3AC9FB70" w:rsidR="00BC08CB" w:rsidRPr="00BC08CB" w:rsidRDefault="00BC08CB" w:rsidP="009D2B3D">
            <w:pPr>
              <w:jc w:val="right"/>
              <w:rPr>
                <w:sz w:val="18"/>
                <w:szCs w:val="18"/>
              </w:rPr>
            </w:pPr>
            <w:r w:rsidRPr="00BC08CB">
              <w:rPr>
                <w:sz w:val="18"/>
                <w:szCs w:val="18"/>
              </w:rPr>
              <w:t xml:space="preserve"> 2,451,179 </w:t>
            </w:r>
          </w:p>
        </w:tc>
        <w:tc>
          <w:tcPr>
            <w:tcW w:w="1222" w:type="dxa"/>
            <w:shd w:val="clear" w:color="auto" w:fill="FFFFFF" w:themeFill="background1"/>
          </w:tcPr>
          <w:p w14:paraId="132BE550" w14:textId="659F87AE" w:rsidR="00BC08CB" w:rsidRPr="00BC08CB" w:rsidRDefault="00BC08CB" w:rsidP="009D2B3D">
            <w:pPr>
              <w:jc w:val="right"/>
              <w:rPr>
                <w:sz w:val="18"/>
                <w:szCs w:val="18"/>
              </w:rPr>
            </w:pPr>
            <w:r w:rsidRPr="00BC08CB">
              <w:rPr>
                <w:sz w:val="18"/>
                <w:szCs w:val="18"/>
              </w:rPr>
              <w:t xml:space="preserve"> -   </w:t>
            </w:r>
          </w:p>
        </w:tc>
        <w:tc>
          <w:tcPr>
            <w:tcW w:w="1223" w:type="dxa"/>
            <w:shd w:val="clear" w:color="auto" w:fill="FFFFFF" w:themeFill="background1"/>
          </w:tcPr>
          <w:p w14:paraId="1608DE9E" w14:textId="0CB6B515" w:rsidR="00BC08CB" w:rsidRPr="00BC08CB" w:rsidRDefault="00BC08CB" w:rsidP="009D2B3D">
            <w:pPr>
              <w:jc w:val="right"/>
              <w:rPr>
                <w:sz w:val="18"/>
                <w:szCs w:val="18"/>
              </w:rPr>
            </w:pPr>
            <w:r w:rsidRPr="00BC08CB">
              <w:rPr>
                <w:sz w:val="18"/>
                <w:szCs w:val="18"/>
              </w:rPr>
              <w:t xml:space="preserve"> 2,451,179 </w:t>
            </w:r>
          </w:p>
        </w:tc>
      </w:tr>
      <w:tr w:rsidR="00BC08CB" w:rsidRPr="00724CAE" w14:paraId="2CF23C43" w14:textId="77777777" w:rsidTr="00BC08CB">
        <w:trPr>
          <w:cantSplit/>
          <w:trHeight w:val="15"/>
        </w:trPr>
        <w:tc>
          <w:tcPr>
            <w:tcW w:w="1560" w:type="dxa"/>
            <w:shd w:val="clear" w:color="auto" w:fill="FFFFFF" w:themeFill="background1"/>
          </w:tcPr>
          <w:p w14:paraId="5C8C627D" w14:textId="3F070BDD" w:rsidR="00BC08CB" w:rsidRPr="00BC08CB" w:rsidRDefault="006246DA" w:rsidP="00BC08CB">
            <w:pPr>
              <w:rPr>
                <w:b/>
                <w:bCs/>
                <w:sz w:val="18"/>
                <w:szCs w:val="18"/>
              </w:rPr>
            </w:pPr>
            <w:r w:rsidRPr="006246DA">
              <w:rPr>
                <w:b/>
                <w:bCs/>
                <w:sz w:val="18"/>
                <w:szCs w:val="18"/>
              </w:rPr>
              <w:t>Total comprehensive revenue and expense for the year (Restated) (</w:t>
            </w:r>
            <w:proofErr w:type="spellStart"/>
            <w:r w:rsidRPr="006246DA">
              <w:rPr>
                <w:b/>
                <w:bCs/>
                <w:sz w:val="18"/>
                <w:szCs w:val="18"/>
              </w:rPr>
              <w:t>i</w:t>
            </w:r>
            <w:proofErr w:type="spellEnd"/>
            <w:r w:rsidRPr="006246DA">
              <w:rPr>
                <w:b/>
                <w:bCs/>
                <w:sz w:val="18"/>
                <w:szCs w:val="18"/>
              </w:rPr>
              <w:t>)</w:t>
            </w:r>
          </w:p>
        </w:tc>
        <w:tc>
          <w:tcPr>
            <w:tcW w:w="1222" w:type="dxa"/>
            <w:shd w:val="clear" w:color="auto" w:fill="FFFFFF" w:themeFill="background1"/>
          </w:tcPr>
          <w:p w14:paraId="10AB3B8A" w14:textId="3606797F" w:rsidR="00BC08CB" w:rsidRPr="00BC08CB" w:rsidRDefault="00BC08CB" w:rsidP="009D2B3D">
            <w:pPr>
              <w:jc w:val="right"/>
              <w:rPr>
                <w:sz w:val="18"/>
                <w:szCs w:val="18"/>
              </w:rPr>
            </w:pPr>
            <w:r w:rsidRPr="00BC08CB">
              <w:rPr>
                <w:sz w:val="18"/>
                <w:szCs w:val="18"/>
              </w:rPr>
              <w:t>(9,732)</w:t>
            </w:r>
          </w:p>
        </w:tc>
        <w:tc>
          <w:tcPr>
            <w:tcW w:w="1223" w:type="dxa"/>
            <w:shd w:val="clear" w:color="auto" w:fill="FFFFFF" w:themeFill="background1"/>
          </w:tcPr>
          <w:p w14:paraId="1417E6B7" w14:textId="29049899" w:rsidR="00BC08CB" w:rsidRPr="00BC08CB" w:rsidRDefault="00BC08CB" w:rsidP="009D2B3D">
            <w:pPr>
              <w:jc w:val="right"/>
              <w:rPr>
                <w:sz w:val="18"/>
                <w:szCs w:val="18"/>
              </w:rPr>
            </w:pPr>
            <w:r w:rsidRPr="00BC08CB">
              <w:rPr>
                <w:sz w:val="18"/>
                <w:szCs w:val="18"/>
              </w:rPr>
              <w:t xml:space="preserve"> -   </w:t>
            </w:r>
          </w:p>
        </w:tc>
        <w:tc>
          <w:tcPr>
            <w:tcW w:w="1222" w:type="dxa"/>
            <w:shd w:val="clear" w:color="auto" w:fill="FFFFFF" w:themeFill="background1"/>
          </w:tcPr>
          <w:p w14:paraId="73FABC31" w14:textId="47A1E218" w:rsidR="00BC08CB" w:rsidRPr="00BC08CB" w:rsidRDefault="00BC08CB" w:rsidP="009D2B3D">
            <w:pPr>
              <w:jc w:val="right"/>
              <w:rPr>
                <w:sz w:val="18"/>
                <w:szCs w:val="18"/>
              </w:rPr>
            </w:pPr>
            <w:r w:rsidRPr="00BC08CB">
              <w:rPr>
                <w:sz w:val="18"/>
                <w:szCs w:val="18"/>
              </w:rPr>
              <w:t xml:space="preserve"> -   </w:t>
            </w:r>
          </w:p>
        </w:tc>
        <w:tc>
          <w:tcPr>
            <w:tcW w:w="1223" w:type="dxa"/>
            <w:shd w:val="clear" w:color="auto" w:fill="FFFFFF" w:themeFill="background1"/>
          </w:tcPr>
          <w:p w14:paraId="7512891A" w14:textId="43C4FB8C" w:rsidR="00BC08CB" w:rsidRPr="00BC08CB" w:rsidRDefault="00BC08CB" w:rsidP="009D2B3D">
            <w:pPr>
              <w:jc w:val="right"/>
              <w:rPr>
                <w:sz w:val="18"/>
                <w:szCs w:val="18"/>
              </w:rPr>
            </w:pPr>
            <w:r w:rsidRPr="00BC08CB">
              <w:rPr>
                <w:sz w:val="18"/>
                <w:szCs w:val="18"/>
              </w:rPr>
              <w:t xml:space="preserve"> -   </w:t>
            </w:r>
          </w:p>
        </w:tc>
        <w:tc>
          <w:tcPr>
            <w:tcW w:w="1222" w:type="dxa"/>
            <w:shd w:val="clear" w:color="auto" w:fill="FFFFFF" w:themeFill="background1"/>
          </w:tcPr>
          <w:p w14:paraId="418C8FFC" w14:textId="65E164AD" w:rsidR="00BC08CB" w:rsidRPr="00BC08CB" w:rsidRDefault="00BC08CB" w:rsidP="009D2B3D">
            <w:pPr>
              <w:jc w:val="right"/>
              <w:rPr>
                <w:sz w:val="18"/>
                <w:szCs w:val="18"/>
              </w:rPr>
            </w:pPr>
            <w:r w:rsidRPr="00BC08CB">
              <w:rPr>
                <w:sz w:val="18"/>
                <w:szCs w:val="18"/>
              </w:rPr>
              <w:t xml:space="preserve"> 95,407 </w:t>
            </w:r>
          </w:p>
        </w:tc>
        <w:tc>
          <w:tcPr>
            <w:tcW w:w="1223" w:type="dxa"/>
            <w:shd w:val="clear" w:color="auto" w:fill="FFFFFF" w:themeFill="background1"/>
          </w:tcPr>
          <w:p w14:paraId="487C9EB2" w14:textId="3F68EA30" w:rsidR="00BC08CB" w:rsidRPr="00BC08CB" w:rsidRDefault="00BC08CB" w:rsidP="009D2B3D">
            <w:pPr>
              <w:jc w:val="right"/>
              <w:rPr>
                <w:sz w:val="18"/>
                <w:szCs w:val="18"/>
              </w:rPr>
            </w:pPr>
            <w:r w:rsidRPr="00BC08CB">
              <w:rPr>
                <w:sz w:val="18"/>
                <w:szCs w:val="18"/>
              </w:rPr>
              <w:t xml:space="preserve"> 85,675 </w:t>
            </w:r>
          </w:p>
        </w:tc>
        <w:tc>
          <w:tcPr>
            <w:tcW w:w="1222" w:type="dxa"/>
            <w:shd w:val="clear" w:color="auto" w:fill="FFFFFF" w:themeFill="background1"/>
          </w:tcPr>
          <w:p w14:paraId="6FE0FEEF" w14:textId="40D25B11" w:rsidR="00BC08CB" w:rsidRPr="00BC08CB" w:rsidRDefault="00BC08CB" w:rsidP="009D2B3D">
            <w:pPr>
              <w:jc w:val="right"/>
              <w:rPr>
                <w:sz w:val="18"/>
                <w:szCs w:val="18"/>
              </w:rPr>
            </w:pPr>
            <w:r w:rsidRPr="00BC08CB">
              <w:rPr>
                <w:sz w:val="18"/>
                <w:szCs w:val="18"/>
              </w:rPr>
              <w:t xml:space="preserve"> -   </w:t>
            </w:r>
          </w:p>
        </w:tc>
        <w:tc>
          <w:tcPr>
            <w:tcW w:w="1223" w:type="dxa"/>
            <w:shd w:val="clear" w:color="auto" w:fill="FFFFFF" w:themeFill="background1"/>
          </w:tcPr>
          <w:p w14:paraId="25A102B9" w14:textId="4F69F467" w:rsidR="00BC08CB" w:rsidRPr="00BC08CB" w:rsidRDefault="00BC08CB" w:rsidP="009D2B3D">
            <w:pPr>
              <w:jc w:val="right"/>
              <w:rPr>
                <w:sz w:val="18"/>
                <w:szCs w:val="18"/>
              </w:rPr>
            </w:pPr>
            <w:r w:rsidRPr="00BC08CB">
              <w:rPr>
                <w:sz w:val="18"/>
                <w:szCs w:val="18"/>
              </w:rPr>
              <w:t xml:space="preserve"> 85,675 </w:t>
            </w:r>
          </w:p>
        </w:tc>
      </w:tr>
      <w:tr w:rsidR="00BC08CB" w:rsidRPr="00724CAE" w14:paraId="7480CA62" w14:textId="77777777" w:rsidTr="00BC08CB">
        <w:trPr>
          <w:cantSplit/>
          <w:trHeight w:val="15"/>
        </w:trPr>
        <w:tc>
          <w:tcPr>
            <w:tcW w:w="1560" w:type="dxa"/>
            <w:shd w:val="clear" w:color="auto" w:fill="FFFFFF" w:themeFill="background1"/>
          </w:tcPr>
          <w:p w14:paraId="63FEB400" w14:textId="77777777" w:rsidR="00BC08CB" w:rsidRPr="00BC08CB" w:rsidRDefault="00BC08CB" w:rsidP="00BC08CB">
            <w:pPr>
              <w:rPr>
                <w:sz w:val="18"/>
                <w:szCs w:val="18"/>
              </w:rPr>
            </w:pPr>
            <w:r w:rsidRPr="00BC08CB">
              <w:rPr>
                <w:sz w:val="18"/>
                <w:szCs w:val="18"/>
              </w:rPr>
              <w:t>Transfers from/(to) accumulated funds</w:t>
            </w:r>
          </w:p>
        </w:tc>
        <w:tc>
          <w:tcPr>
            <w:tcW w:w="1222" w:type="dxa"/>
            <w:shd w:val="clear" w:color="auto" w:fill="FFFFFF" w:themeFill="background1"/>
          </w:tcPr>
          <w:p w14:paraId="3D4C3FCA" w14:textId="45BE97B4" w:rsidR="00BC08CB" w:rsidRPr="00BC08CB" w:rsidRDefault="00BC08CB" w:rsidP="009D2B3D">
            <w:pPr>
              <w:jc w:val="right"/>
              <w:rPr>
                <w:sz w:val="18"/>
                <w:szCs w:val="18"/>
              </w:rPr>
            </w:pPr>
            <w:r w:rsidRPr="00BC08CB">
              <w:rPr>
                <w:sz w:val="18"/>
                <w:szCs w:val="18"/>
              </w:rPr>
              <w:t xml:space="preserve"> 1,060 </w:t>
            </w:r>
          </w:p>
        </w:tc>
        <w:tc>
          <w:tcPr>
            <w:tcW w:w="1223" w:type="dxa"/>
            <w:shd w:val="clear" w:color="auto" w:fill="FFFFFF" w:themeFill="background1"/>
          </w:tcPr>
          <w:p w14:paraId="3137EF6B" w14:textId="002A7FB3" w:rsidR="00BC08CB" w:rsidRPr="00BC08CB" w:rsidRDefault="00BC08CB" w:rsidP="009D2B3D">
            <w:pPr>
              <w:jc w:val="right"/>
              <w:rPr>
                <w:sz w:val="18"/>
                <w:szCs w:val="18"/>
              </w:rPr>
            </w:pPr>
            <w:r w:rsidRPr="00BC08CB">
              <w:rPr>
                <w:sz w:val="18"/>
                <w:szCs w:val="18"/>
              </w:rPr>
              <w:t xml:space="preserve"> (9,971)</w:t>
            </w:r>
          </w:p>
        </w:tc>
        <w:tc>
          <w:tcPr>
            <w:tcW w:w="1222" w:type="dxa"/>
            <w:shd w:val="clear" w:color="auto" w:fill="FFFFFF" w:themeFill="background1"/>
          </w:tcPr>
          <w:p w14:paraId="49E896D7" w14:textId="18D6C7A9" w:rsidR="00BC08CB" w:rsidRPr="00BC08CB" w:rsidRDefault="00BC08CB" w:rsidP="009D2B3D">
            <w:pPr>
              <w:jc w:val="right"/>
              <w:rPr>
                <w:sz w:val="18"/>
                <w:szCs w:val="18"/>
              </w:rPr>
            </w:pPr>
            <w:r w:rsidRPr="00BC08CB">
              <w:rPr>
                <w:sz w:val="18"/>
                <w:szCs w:val="18"/>
              </w:rPr>
              <w:t xml:space="preserve"> (9,563)</w:t>
            </w:r>
          </w:p>
        </w:tc>
        <w:tc>
          <w:tcPr>
            <w:tcW w:w="1223" w:type="dxa"/>
            <w:shd w:val="clear" w:color="auto" w:fill="FFFFFF" w:themeFill="background1"/>
          </w:tcPr>
          <w:p w14:paraId="7AEF8E11" w14:textId="283EA060" w:rsidR="00BC08CB" w:rsidRPr="00BC08CB" w:rsidRDefault="00BC08CB" w:rsidP="009D2B3D">
            <w:pPr>
              <w:jc w:val="right"/>
              <w:rPr>
                <w:sz w:val="18"/>
                <w:szCs w:val="18"/>
              </w:rPr>
            </w:pPr>
            <w:r w:rsidRPr="00BC08CB">
              <w:rPr>
                <w:sz w:val="18"/>
                <w:szCs w:val="18"/>
              </w:rPr>
              <w:t xml:space="preserve"> -   </w:t>
            </w:r>
          </w:p>
        </w:tc>
        <w:tc>
          <w:tcPr>
            <w:tcW w:w="1222" w:type="dxa"/>
            <w:shd w:val="clear" w:color="auto" w:fill="FFFFFF" w:themeFill="background1"/>
          </w:tcPr>
          <w:p w14:paraId="13DFE4B1" w14:textId="2FF6B28F" w:rsidR="00BC08CB" w:rsidRPr="00BC08CB" w:rsidRDefault="00BC08CB" w:rsidP="009D2B3D">
            <w:pPr>
              <w:jc w:val="right"/>
              <w:rPr>
                <w:sz w:val="18"/>
                <w:szCs w:val="18"/>
              </w:rPr>
            </w:pPr>
            <w:r w:rsidRPr="00BC08CB">
              <w:rPr>
                <w:sz w:val="18"/>
                <w:szCs w:val="18"/>
              </w:rPr>
              <w:t xml:space="preserve"> 18,474 </w:t>
            </w:r>
          </w:p>
        </w:tc>
        <w:tc>
          <w:tcPr>
            <w:tcW w:w="1223" w:type="dxa"/>
            <w:shd w:val="clear" w:color="auto" w:fill="FFFFFF" w:themeFill="background1"/>
          </w:tcPr>
          <w:p w14:paraId="0F552622" w14:textId="240B5227" w:rsidR="00BC08CB" w:rsidRPr="00BC08CB" w:rsidRDefault="00BC08CB" w:rsidP="009D2B3D">
            <w:pPr>
              <w:jc w:val="right"/>
              <w:rPr>
                <w:sz w:val="18"/>
                <w:szCs w:val="18"/>
              </w:rPr>
            </w:pPr>
            <w:r w:rsidRPr="00BC08CB">
              <w:rPr>
                <w:sz w:val="18"/>
                <w:szCs w:val="18"/>
              </w:rPr>
              <w:t xml:space="preserve"> -   </w:t>
            </w:r>
          </w:p>
        </w:tc>
        <w:tc>
          <w:tcPr>
            <w:tcW w:w="1222" w:type="dxa"/>
            <w:shd w:val="clear" w:color="auto" w:fill="FFFFFF" w:themeFill="background1"/>
          </w:tcPr>
          <w:p w14:paraId="50A492EF" w14:textId="0BF39E73" w:rsidR="00BC08CB" w:rsidRPr="00BC08CB" w:rsidRDefault="00BC08CB" w:rsidP="009D2B3D">
            <w:pPr>
              <w:jc w:val="right"/>
              <w:rPr>
                <w:sz w:val="18"/>
                <w:szCs w:val="18"/>
              </w:rPr>
            </w:pPr>
            <w:r w:rsidRPr="00BC08CB">
              <w:rPr>
                <w:sz w:val="18"/>
                <w:szCs w:val="18"/>
              </w:rPr>
              <w:t xml:space="preserve"> -   </w:t>
            </w:r>
          </w:p>
        </w:tc>
        <w:tc>
          <w:tcPr>
            <w:tcW w:w="1223" w:type="dxa"/>
            <w:shd w:val="clear" w:color="auto" w:fill="FFFFFF" w:themeFill="background1"/>
          </w:tcPr>
          <w:p w14:paraId="54A5B796" w14:textId="0449A837" w:rsidR="00BC08CB" w:rsidRPr="00BC08CB" w:rsidRDefault="00BC08CB" w:rsidP="009D2B3D">
            <w:pPr>
              <w:jc w:val="right"/>
              <w:rPr>
                <w:sz w:val="18"/>
                <w:szCs w:val="18"/>
              </w:rPr>
            </w:pPr>
            <w:r w:rsidRPr="00BC08CB">
              <w:rPr>
                <w:sz w:val="18"/>
                <w:szCs w:val="18"/>
              </w:rPr>
              <w:t xml:space="preserve"> -   </w:t>
            </w:r>
          </w:p>
        </w:tc>
      </w:tr>
      <w:tr w:rsidR="00BC08CB" w:rsidRPr="0027245D" w14:paraId="751FB2D7" w14:textId="77777777" w:rsidTr="00BC08CB">
        <w:trPr>
          <w:cantSplit/>
          <w:trHeight w:val="15"/>
        </w:trPr>
        <w:tc>
          <w:tcPr>
            <w:tcW w:w="1560" w:type="dxa"/>
            <w:shd w:val="clear" w:color="auto" w:fill="D9D9D9" w:themeFill="background1" w:themeFillShade="D9"/>
          </w:tcPr>
          <w:p w14:paraId="0BE10A17" w14:textId="77FF081A" w:rsidR="00BC08CB" w:rsidRPr="00BC08CB" w:rsidRDefault="00BC08CB" w:rsidP="00BC08CB">
            <w:pPr>
              <w:rPr>
                <w:b/>
                <w:bCs/>
                <w:sz w:val="18"/>
                <w:szCs w:val="18"/>
              </w:rPr>
            </w:pPr>
            <w:r w:rsidRPr="00BC08CB">
              <w:rPr>
                <w:b/>
                <w:bCs/>
                <w:sz w:val="18"/>
                <w:szCs w:val="18"/>
              </w:rPr>
              <w:t xml:space="preserve">Balance </w:t>
            </w:r>
            <w:proofErr w:type="gramStart"/>
            <w:r w:rsidRPr="00BC08CB">
              <w:rPr>
                <w:b/>
                <w:bCs/>
                <w:sz w:val="18"/>
                <w:szCs w:val="18"/>
              </w:rPr>
              <w:t>at</w:t>
            </w:r>
            <w:proofErr w:type="gramEnd"/>
            <w:r w:rsidRPr="00BC08CB">
              <w:rPr>
                <w:b/>
                <w:bCs/>
                <w:sz w:val="18"/>
                <w:szCs w:val="18"/>
              </w:rPr>
              <w:t xml:space="preserve"> 30 June 2024 Restated</w:t>
            </w:r>
          </w:p>
        </w:tc>
        <w:tc>
          <w:tcPr>
            <w:tcW w:w="1222" w:type="dxa"/>
            <w:shd w:val="clear" w:color="auto" w:fill="D9D9D9" w:themeFill="background1" w:themeFillShade="D9"/>
          </w:tcPr>
          <w:p w14:paraId="534CCAD4" w14:textId="2390B85C" w:rsidR="00BC08CB" w:rsidRPr="00BC08CB" w:rsidRDefault="00BC08CB" w:rsidP="009D2B3D">
            <w:pPr>
              <w:jc w:val="right"/>
              <w:rPr>
                <w:b/>
                <w:bCs/>
                <w:sz w:val="18"/>
                <w:szCs w:val="18"/>
              </w:rPr>
            </w:pPr>
            <w:r w:rsidRPr="00BC08CB">
              <w:rPr>
                <w:b/>
                <w:bCs/>
                <w:sz w:val="18"/>
                <w:szCs w:val="18"/>
              </w:rPr>
              <w:t xml:space="preserve"> 1,629,450 </w:t>
            </w:r>
          </w:p>
        </w:tc>
        <w:tc>
          <w:tcPr>
            <w:tcW w:w="1223" w:type="dxa"/>
            <w:shd w:val="clear" w:color="auto" w:fill="D9D9D9" w:themeFill="background1" w:themeFillShade="D9"/>
          </w:tcPr>
          <w:p w14:paraId="440E02E1" w14:textId="7238447C" w:rsidR="00BC08CB" w:rsidRPr="00BC08CB" w:rsidRDefault="00BC08CB" w:rsidP="009D2B3D">
            <w:pPr>
              <w:jc w:val="right"/>
              <w:rPr>
                <w:b/>
                <w:bCs/>
                <w:sz w:val="18"/>
                <w:szCs w:val="18"/>
              </w:rPr>
            </w:pPr>
            <w:r w:rsidRPr="00BC08CB">
              <w:rPr>
                <w:b/>
                <w:bCs/>
                <w:sz w:val="18"/>
                <w:szCs w:val="18"/>
              </w:rPr>
              <w:t xml:space="preserve"> 11,029 </w:t>
            </w:r>
          </w:p>
        </w:tc>
        <w:tc>
          <w:tcPr>
            <w:tcW w:w="1222" w:type="dxa"/>
            <w:shd w:val="clear" w:color="auto" w:fill="D9D9D9" w:themeFill="background1" w:themeFillShade="D9"/>
          </w:tcPr>
          <w:p w14:paraId="68913FBD" w14:textId="1AEC5B0B" w:rsidR="00BC08CB" w:rsidRPr="00BC08CB" w:rsidRDefault="00BC08CB" w:rsidP="009D2B3D">
            <w:pPr>
              <w:jc w:val="right"/>
              <w:rPr>
                <w:b/>
                <w:bCs/>
                <w:sz w:val="18"/>
                <w:szCs w:val="18"/>
              </w:rPr>
            </w:pPr>
            <w:r w:rsidRPr="00BC08CB">
              <w:rPr>
                <w:b/>
                <w:bCs/>
                <w:sz w:val="18"/>
                <w:szCs w:val="18"/>
              </w:rPr>
              <w:t xml:space="preserve"> 12,862 </w:t>
            </w:r>
          </w:p>
        </w:tc>
        <w:tc>
          <w:tcPr>
            <w:tcW w:w="1223" w:type="dxa"/>
            <w:shd w:val="clear" w:color="auto" w:fill="D9D9D9" w:themeFill="background1" w:themeFillShade="D9"/>
          </w:tcPr>
          <w:p w14:paraId="274712DF" w14:textId="1C1F0FA9" w:rsidR="00BC08CB" w:rsidRPr="00BC08CB" w:rsidRDefault="00BC08CB" w:rsidP="009D2B3D">
            <w:pPr>
              <w:jc w:val="right"/>
              <w:rPr>
                <w:b/>
                <w:bCs/>
                <w:sz w:val="18"/>
                <w:szCs w:val="18"/>
              </w:rPr>
            </w:pPr>
            <w:r w:rsidRPr="00BC08CB">
              <w:rPr>
                <w:b/>
                <w:bCs/>
                <w:sz w:val="18"/>
                <w:szCs w:val="18"/>
              </w:rPr>
              <w:t xml:space="preserve"> -   </w:t>
            </w:r>
          </w:p>
        </w:tc>
        <w:tc>
          <w:tcPr>
            <w:tcW w:w="1222" w:type="dxa"/>
            <w:shd w:val="clear" w:color="auto" w:fill="D9D9D9" w:themeFill="background1" w:themeFillShade="D9"/>
          </w:tcPr>
          <w:p w14:paraId="15F1D575" w14:textId="530A12A5" w:rsidR="00BC08CB" w:rsidRPr="00BC08CB" w:rsidRDefault="00BC08CB" w:rsidP="009D2B3D">
            <w:pPr>
              <w:jc w:val="right"/>
              <w:rPr>
                <w:b/>
                <w:bCs/>
                <w:sz w:val="18"/>
                <w:szCs w:val="18"/>
              </w:rPr>
            </w:pPr>
            <w:r w:rsidRPr="00BC08CB">
              <w:rPr>
                <w:b/>
                <w:bCs/>
                <w:sz w:val="18"/>
                <w:szCs w:val="18"/>
              </w:rPr>
              <w:t xml:space="preserve"> 883,513 </w:t>
            </w:r>
          </w:p>
        </w:tc>
        <w:tc>
          <w:tcPr>
            <w:tcW w:w="1223" w:type="dxa"/>
            <w:shd w:val="clear" w:color="auto" w:fill="D9D9D9" w:themeFill="background1" w:themeFillShade="D9"/>
          </w:tcPr>
          <w:p w14:paraId="7996A25F" w14:textId="1D0BC55D" w:rsidR="00BC08CB" w:rsidRPr="00BC08CB" w:rsidRDefault="00BC08CB" w:rsidP="009D2B3D">
            <w:pPr>
              <w:jc w:val="right"/>
              <w:rPr>
                <w:b/>
                <w:bCs/>
                <w:sz w:val="18"/>
                <w:szCs w:val="18"/>
              </w:rPr>
            </w:pPr>
            <w:r w:rsidRPr="00BC08CB">
              <w:rPr>
                <w:b/>
                <w:bCs/>
                <w:sz w:val="18"/>
                <w:szCs w:val="18"/>
              </w:rPr>
              <w:t xml:space="preserve"> 2,536,854 </w:t>
            </w:r>
          </w:p>
        </w:tc>
        <w:tc>
          <w:tcPr>
            <w:tcW w:w="1222" w:type="dxa"/>
            <w:shd w:val="clear" w:color="auto" w:fill="D9D9D9" w:themeFill="background1" w:themeFillShade="D9"/>
          </w:tcPr>
          <w:p w14:paraId="22E0118C" w14:textId="63DDE667" w:rsidR="00BC08CB" w:rsidRPr="00BC08CB" w:rsidRDefault="00BC08CB" w:rsidP="009D2B3D">
            <w:pPr>
              <w:jc w:val="right"/>
              <w:rPr>
                <w:b/>
                <w:bCs/>
                <w:sz w:val="18"/>
                <w:szCs w:val="18"/>
              </w:rPr>
            </w:pPr>
            <w:r w:rsidRPr="00BC08CB">
              <w:rPr>
                <w:b/>
                <w:bCs/>
                <w:sz w:val="18"/>
                <w:szCs w:val="18"/>
              </w:rPr>
              <w:t xml:space="preserve"> -   </w:t>
            </w:r>
          </w:p>
        </w:tc>
        <w:tc>
          <w:tcPr>
            <w:tcW w:w="1223" w:type="dxa"/>
            <w:shd w:val="clear" w:color="auto" w:fill="D9D9D9" w:themeFill="background1" w:themeFillShade="D9"/>
          </w:tcPr>
          <w:p w14:paraId="090DE53B" w14:textId="015CA110" w:rsidR="00BC08CB" w:rsidRPr="00BC08CB" w:rsidRDefault="00BC08CB" w:rsidP="009D2B3D">
            <w:pPr>
              <w:jc w:val="right"/>
              <w:rPr>
                <w:b/>
                <w:bCs/>
                <w:sz w:val="18"/>
                <w:szCs w:val="18"/>
              </w:rPr>
            </w:pPr>
            <w:r w:rsidRPr="00BC08CB">
              <w:rPr>
                <w:b/>
                <w:bCs/>
                <w:sz w:val="18"/>
                <w:szCs w:val="18"/>
              </w:rPr>
              <w:t xml:space="preserve"> 2,536,854 </w:t>
            </w:r>
          </w:p>
        </w:tc>
      </w:tr>
    </w:tbl>
    <w:p w14:paraId="3EAA55CE" w14:textId="77777777" w:rsidR="009D2B3D" w:rsidRPr="009D2B3D" w:rsidRDefault="009D2B3D" w:rsidP="009D2B3D">
      <w:pPr>
        <w:rPr>
          <w:color w:val="000000" w:themeColor="text1"/>
          <w:sz w:val="18"/>
          <w:szCs w:val="18"/>
          <w:lang w:val="en-GB"/>
        </w:rPr>
      </w:pPr>
      <w:r w:rsidRPr="009D2B3D">
        <w:rPr>
          <w:color w:val="000000" w:themeColor="text1"/>
          <w:sz w:val="18"/>
          <w:szCs w:val="18"/>
          <w:lang w:val="en-GB"/>
        </w:rPr>
        <w:t>(</w:t>
      </w:r>
      <w:proofErr w:type="spellStart"/>
      <w:r w:rsidRPr="009D2B3D">
        <w:rPr>
          <w:color w:val="000000" w:themeColor="text1"/>
          <w:sz w:val="18"/>
          <w:szCs w:val="18"/>
          <w:lang w:val="en-GB"/>
        </w:rPr>
        <w:t>i</w:t>
      </w:r>
      <w:proofErr w:type="spellEnd"/>
      <w:r w:rsidRPr="009D2B3D">
        <w:rPr>
          <w:color w:val="000000" w:themeColor="text1"/>
          <w:sz w:val="18"/>
          <w:szCs w:val="18"/>
          <w:lang w:val="en-GB"/>
        </w:rPr>
        <w:t xml:space="preserve">) Refer to the notes to the summary financial statements on page </w:t>
      </w:r>
      <w:r w:rsidRPr="009D2B3D">
        <w:rPr>
          <w:color w:val="000000" w:themeColor="text1"/>
          <w:sz w:val="18"/>
          <w:szCs w:val="18"/>
          <w:lang w:val="en-GB"/>
        </w:rPr>
        <w:fldChar w:fldCharType="begin"/>
      </w:r>
      <w:r w:rsidRPr="009D2B3D">
        <w:rPr>
          <w:color w:val="000000" w:themeColor="text1"/>
          <w:sz w:val="18"/>
          <w:szCs w:val="18"/>
          <w:lang w:val="en-GB"/>
        </w:rPr>
        <w:instrText xml:space="preserve"> PAGEREF _Ref211422053 \h </w:instrText>
      </w:r>
      <w:r w:rsidRPr="009D2B3D">
        <w:rPr>
          <w:color w:val="000000" w:themeColor="text1"/>
          <w:sz w:val="18"/>
          <w:szCs w:val="18"/>
          <w:lang w:val="en-GB"/>
        </w:rPr>
      </w:r>
      <w:r w:rsidRPr="009D2B3D">
        <w:rPr>
          <w:color w:val="000000" w:themeColor="text1"/>
          <w:sz w:val="18"/>
          <w:szCs w:val="18"/>
          <w:lang w:val="en-GB"/>
        </w:rPr>
        <w:fldChar w:fldCharType="separate"/>
      </w:r>
      <w:r w:rsidRPr="009D2B3D">
        <w:rPr>
          <w:noProof/>
          <w:color w:val="000000" w:themeColor="text1"/>
          <w:sz w:val="18"/>
          <w:szCs w:val="18"/>
          <w:lang w:val="en-GB"/>
        </w:rPr>
        <w:t>58</w:t>
      </w:r>
      <w:r w:rsidRPr="009D2B3D">
        <w:rPr>
          <w:color w:val="000000" w:themeColor="text1"/>
          <w:sz w:val="18"/>
          <w:szCs w:val="18"/>
          <w:lang w:val="en-GB"/>
        </w:rPr>
        <w:fldChar w:fldCharType="end"/>
      </w:r>
      <w:r w:rsidRPr="009D2B3D">
        <w:rPr>
          <w:color w:val="000000" w:themeColor="text1"/>
          <w:sz w:val="18"/>
          <w:szCs w:val="18"/>
          <w:lang w:val="en-GB"/>
        </w:rPr>
        <w:t>.</w:t>
      </w:r>
    </w:p>
    <w:p w14:paraId="2434E1BC" w14:textId="77777777" w:rsidR="006246DA" w:rsidRDefault="00500872">
      <w:pPr>
        <w:rPr>
          <w:sz w:val="18"/>
          <w:szCs w:val="18"/>
          <w:lang w:val="en-GB"/>
        </w:rPr>
      </w:pPr>
      <w:r>
        <w:rPr>
          <w:sz w:val="18"/>
          <w:szCs w:val="18"/>
          <w:lang w:val="en-GB"/>
        </w:rPr>
        <w:br w:type="page"/>
      </w:r>
    </w:p>
    <w:tbl>
      <w:tblPr>
        <w:tblStyle w:val="TableGrid"/>
        <w:tblW w:w="11340" w:type="dxa"/>
        <w:tblInd w:w="-1139" w:type="dxa"/>
        <w:tblLayout w:type="fixed"/>
        <w:tblCellMar>
          <w:top w:w="115" w:type="dxa"/>
          <w:bottom w:w="115" w:type="dxa"/>
        </w:tblCellMar>
        <w:tblLook w:val="04A0" w:firstRow="1" w:lastRow="0" w:firstColumn="1" w:lastColumn="0" w:noHBand="0" w:noVBand="1"/>
      </w:tblPr>
      <w:tblGrid>
        <w:gridCol w:w="1560"/>
        <w:gridCol w:w="1222"/>
        <w:gridCol w:w="1223"/>
        <w:gridCol w:w="1222"/>
        <w:gridCol w:w="1223"/>
        <w:gridCol w:w="1222"/>
        <w:gridCol w:w="1223"/>
        <w:gridCol w:w="1222"/>
        <w:gridCol w:w="1223"/>
      </w:tblGrid>
      <w:tr w:rsidR="006246DA" w:rsidRPr="00724CAE" w14:paraId="4593F15D" w14:textId="77777777" w:rsidTr="00853B07">
        <w:trPr>
          <w:cantSplit/>
        </w:trPr>
        <w:tc>
          <w:tcPr>
            <w:tcW w:w="1560" w:type="dxa"/>
            <w:shd w:val="clear" w:color="auto" w:fill="BFBFBF" w:themeFill="background1" w:themeFillShade="BF"/>
          </w:tcPr>
          <w:p w14:paraId="1BC4ACCF" w14:textId="77777777" w:rsidR="006246DA" w:rsidRPr="006246DA" w:rsidRDefault="006246DA" w:rsidP="00853B07">
            <w:pPr>
              <w:rPr>
                <w:b/>
                <w:bCs/>
                <w:sz w:val="18"/>
                <w:szCs w:val="18"/>
                <w:lang w:val="en-US"/>
              </w:rPr>
            </w:pPr>
          </w:p>
        </w:tc>
        <w:tc>
          <w:tcPr>
            <w:tcW w:w="1222" w:type="dxa"/>
            <w:shd w:val="clear" w:color="auto" w:fill="BFBFBF" w:themeFill="background1" w:themeFillShade="BF"/>
          </w:tcPr>
          <w:p w14:paraId="63264DED" w14:textId="77777777" w:rsidR="006246DA" w:rsidRPr="006246DA" w:rsidRDefault="006246DA" w:rsidP="00853B07">
            <w:pPr>
              <w:rPr>
                <w:b/>
                <w:bCs/>
                <w:sz w:val="18"/>
                <w:szCs w:val="18"/>
                <w:lang w:val="en-US"/>
              </w:rPr>
            </w:pPr>
            <w:r w:rsidRPr="006246DA">
              <w:rPr>
                <w:b/>
                <w:bCs/>
                <w:sz w:val="18"/>
                <w:szCs w:val="18"/>
              </w:rPr>
              <w:t>Revaluation Reserves</w:t>
            </w:r>
          </w:p>
        </w:tc>
        <w:tc>
          <w:tcPr>
            <w:tcW w:w="1223" w:type="dxa"/>
            <w:shd w:val="clear" w:color="auto" w:fill="BFBFBF" w:themeFill="background1" w:themeFillShade="BF"/>
          </w:tcPr>
          <w:p w14:paraId="4F8856F0" w14:textId="77777777" w:rsidR="006246DA" w:rsidRPr="006246DA" w:rsidRDefault="006246DA" w:rsidP="00853B07">
            <w:pPr>
              <w:rPr>
                <w:b/>
                <w:bCs/>
                <w:sz w:val="18"/>
                <w:szCs w:val="18"/>
                <w:lang w:val="en-US"/>
              </w:rPr>
            </w:pPr>
            <w:r w:rsidRPr="006246DA">
              <w:rPr>
                <w:b/>
                <w:bCs/>
                <w:sz w:val="18"/>
                <w:szCs w:val="18"/>
              </w:rPr>
              <w:t>Operating Reserves</w:t>
            </w:r>
          </w:p>
        </w:tc>
        <w:tc>
          <w:tcPr>
            <w:tcW w:w="1222" w:type="dxa"/>
            <w:shd w:val="clear" w:color="auto" w:fill="BFBFBF" w:themeFill="background1" w:themeFillShade="BF"/>
          </w:tcPr>
          <w:p w14:paraId="3C7C06DC" w14:textId="77777777" w:rsidR="006246DA" w:rsidRPr="006246DA" w:rsidRDefault="006246DA" w:rsidP="00853B07">
            <w:pPr>
              <w:rPr>
                <w:b/>
                <w:bCs/>
                <w:sz w:val="18"/>
                <w:szCs w:val="18"/>
                <w:lang w:val="en-US"/>
              </w:rPr>
            </w:pPr>
            <w:r w:rsidRPr="006246DA">
              <w:rPr>
                <w:b/>
                <w:bCs/>
                <w:sz w:val="18"/>
                <w:szCs w:val="18"/>
              </w:rPr>
              <w:t>Capital Reserves</w:t>
            </w:r>
          </w:p>
        </w:tc>
        <w:tc>
          <w:tcPr>
            <w:tcW w:w="1223" w:type="dxa"/>
            <w:shd w:val="clear" w:color="auto" w:fill="BFBFBF" w:themeFill="background1" w:themeFillShade="BF"/>
          </w:tcPr>
          <w:p w14:paraId="7D1FFF4F" w14:textId="77777777" w:rsidR="006246DA" w:rsidRPr="006246DA" w:rsidRDefault="006246DA" w:rsidP="00853B07">
            <w:pPr>
              <w:rPr>
                <w:b/>
                <w:bCs/>
                <w:sz w:val="18"/>
                <w:szCs w:val="18"/>
                <w:lang w:val="en-US"/>
              </w:rPr>
            </w:pPr>
            <w:r w:rsidRPr="006246DA">
              <w:rPr>
                <w:b/>
                <w:bCs/>
                <w:sz w:val="18"/>
                <w:szCs w:val="18"/>
              </w:rPr>
              <w:t>Hedging Reserve</w:t>
            </w:r>
          </w:p>
        </w:tc>
        <w:tc>
          <w:tcPr>
            <w:tcW w:w="1222" w:type="dxa"/>
            <w:shd w:val="clear" w:color="auto" w:fill="BFBFBF" w:themeFill="background1" w:themeFillShade="BF"/>
          </w:tcPr>
          <w:p w14:paraId="4F926E49" w14:textId="77777777" w:rsidR="006246DA" w:rsidRPr="006246DA" w:rsidRDefault="006246DA" w:rsidP="00853B07">
            <w:pPr>
              <w:rPr>
                <w:b/>
                <w:bCs/>
                <w:sz w:val="18"/>
                <w:szCs w:val="18"/>
                <w:lang w:val="en-US"/>
              </w:rPr>
            </w:pPr>
            <w:r w:rsidRPr="006246DA">
              <w:rPr>
                <w:b/>
                <w:bCs/>
                <w:sz w:val="18"/>
                <w:szCs w:val="18"/>
              </w:rPr>
              <w:t>Accumulated Funds</w:t>
            </w:r>
          </w:p>
        </w:tc>
        <w:tc>
          <w:tcPr>
            <w:tcW w:w="1223" w:type="dxa"/>
            <w:shd w:val="clear" w:color="auto" w:fill="BFBFBF" w:themeFill="background1" w:themeFillShade="BF"/>
          </w:tcPr>
          <w:p w14:paraId="3F9DD8A3" w14:textId="77777777" w:rsidR="006246DA" w:rsidRPr="006246DA" w:rsidRDefault="006246DA" w:rsidP="00853B07">
            <w:pPr>
              <w:rPr>
                <w:b/>
                <w:bCs/>
                <w:sz w:val="18"/>
                <w:szCs w:val="18"/>
                <w:lang w:val="en-US"/>
              </w:rPr>
            </w:pPr>
            <w:r w:rsidRPr="006246DA">
              <w:rPr>
                <w:b/>
                <w:bCs/>
                <w:sz w:val="18"/>
                <w:szCs w:val="18"/>
              </w:rPr>
              <w:t>Attributable to Equity Holders of Parent</w:t>
            </w:r>
          </w:p>
        </w:tc>
        <w:tc>
          <w:tcPr>
            <w:tcW w:w="1222" w:type="dxa"/>
            <w:shd w:val="clear" w:color="auto" w:fill="BFBFBF" w:themeFill="background1" w:themeFillShade="BF"/>
          </w:tcPr>
          <w:p w14:paraId="258CB132" w14:textId="77777777" w:rsidR="006246DA" w:rsidRPr="006246DA" w:rsidRDefault="006246DA" w:rsidP="00853B07">
            <w:pPr>
              <w:rPr>
                <w:b/>
                <w:bCs/>
                <w:sz w:val="18"/>
                <w:szCs w:val="18"/>
                <w:lang w:val="en-US"/>
              </w:rPr>
            </w:pPr>
            <w:r w:rsidRPr="006246DA">
              <w:rPr>
                <w:b/>
                <w:bCs/>
                <w:sz w:val="18"/>
                <w:szCs w:val="18"/>
              </w:rPr>
              <w:t>Non-Controlling Interest</w:t>
            </w:r>
          </w:p>
        </w:tc>
        <w:tc>
          <w:tcPr>
            <w:tcW w:w="1223" w:type="dxa"/>
            <w:shd w:val="clear" w:color="auto" w:fill="BFBFBF" w:themeFill="background1" w:themeFillShade="BF"/>
          </w:tcPr>
          <w:p w14:paraId="217685AF" w14:textId="77777777" w:rsidR="006246DA" w:rsidRPr="006246DA" w:rsidRDefault="006246DA" w:rsidP="00853B07">
            <w:pPr>
              <w:rPr>
                <w:b/>
                <w:bCs/>
                <w:sz w:val="18"/>
                <w:szCs w:val="18"/>
              </w:rPr>
            </w:pPr>
            <w:r w:rsidRPr="006246DA">
              <w:rPr>
                <w:b/>
                <w:bCs/>
                <w:sz w:val="18"/>
                <w:szCs w:val="18"/>
              </w:rPr>
              <w:t>TOTAL</w:t>
            </w:r>
          </w:p>
          <w:p w14:paraId="5AF35F18" w14:textId="77777777" w:rsidR="006246DA" w:rsidRPr="006246DA" w:rsidRDefault="006246DA" w:rsidP="00853B07">
            <w:pPr>
              <w:rPr>
                <w:b/>
                <w:bCs/>
                <w:sz w:val="18"/>
                <w:szCs w:val="18"/>
                <w:lang w:val="en-US"/>
              </w:rPr>
            </w:pPr>
            <w:r w:rsidRPr="006246DA">
              <w:rPr>
                <w:b/>
                <w:bCs/>
                <w:sz w:val="18"/>
                <w:szCs w:val="18"/>
              </w:rPr>
              <w:t>EQUITY</w:t>
            </w:r>
          </w:p>
        </w:tc>
      </w:tr>
      <w:tr w:rsidR="006246DA" w:rsidRPr="00724CAE" w14:paraId="4B192704" w14:textId="77777777" w:rsidTr="00853B07">
        <w:trPr>
          <w:cantSplit/>
          <w:trHeight w:val="15"/>
        </w:trPr>
        <w:tc>
          <w:tcPr>
            <w:tcW w:w="1560" w:type="dxa"/>
            <w:shd w:val="clear" w:color="auto" w:fill="FFFFFF" w:themeFill="background1"/>
          </w:tcPr>
          <w:p w14:paraId="579F47DD" w14:textId="10B25EE5" w:rsidR="006246DA" w:rsidRPr="006246DA" w:rsidRDefault="006246DA" w:rsidP="00853B07">
            <w:pPr>
              <w:rPr>
                <w:b/>
                <w:bCs/>
                <w:sz w:val="18"/>
                <w:szCs w:val="18"/>
              </w:rPr>
            </w:pPr>
            <w:r w:rsidRPr="006246DA">
              <w:rPr>
                <w:b/>
                <w:bCs/>
                <w:sz w:val="18"/>
                <w:szCs w:val="18"/>
              </w:rPr>
              <w:t>Group</w:t>
            </w:r>
          </w:p>
        </w:tc>
        <w:tc>
          <w:tcPr>
            <w:tcW w:w="1222" w:type="dxa"/>
            <w:shd w:val="clear" w:color="auto" w:fill="FFFFFF" w:themeFill="background1"/>
          </w:tcPr>
          <w:p w14:paraId="1494C347" w14:textId="77777777" w:rsidR="006246DA" w:rsidRPr="006246DA" w:rsidRDefault="006246DA" w:rsidP="009D2B3D">
            <w:pPr>
              <w:jc w:val="right"/>
              <w:rPr>
                <w:b/>
                <w:bCs/>
                <w:sz w:val="18"/>
                <w:szCs w:val="18"/>
              </w:rPr>
            </w:pPr>
            <w:r w:rsidRPr="006246DA">
              <w:rPr>
                <w:b/>
                <w:bCs/>
                <w:sz w:val="18"/>
                <w:szCs w:val="18"/>
              </w:rPr>
              <w:t>$’000</w:t>
            </w:r>
          </w:p>
        </w:tc>
        <w:tc>
          <w:tcPr>
            <w:tcW w:w="1223" w:type="dxa"/>
            <w:shd w:val="clear" w:color="auto" w:fill="FFFFFF" w:themeFill="background1"/>
          </w:tcPr>
          <w:p w14:paraId="2A14340A" w14:textId="77777777" w:rsidR="006246DA" w:rsidRPr="006246DA" w:rsidRDefault="006246DA" w:rsidP="009D2B3D">
            <w:pPr>
              <w:jc w:val="right"/>
              <w:rPr>
                <w:b/>
                <w:bCs/>
                <w:sz w:val="18"/>
                <w:szCs w:val="18"/>
              </w:rPr>
            </w:pPr>
            <w:r w:rsidRPr="006246DA">
              <w:rPr>
                <w:b/>
                <w:bCs/>
                <w:sz w:val="18"/>
                <w:szCs w:val="18"/>
              </w:rPr>
              <w:t>$’000</w:t>
            </w:r>
          </w:p>
        </w:tc>
        <w:tc>
          <w:tcPr>
            <w:tcW w:w="1222" w:type="dxa"/>
            <w:shd w:val="clear" w:color="auto" w:fill="FFFFFF" w:themeFill="background1"/>
          </w:tcPr>
          <w:p w14:paraId="641D34C7" w14:textId="77777777" w:rsidR="006246DA" w:rsidRPr="006246DA" w:rsidRDefault="006246DA" w:rsidP="009D2B3D">
            <w:pPr>
              <w:jc w:val="right"/>
              <w:rPr>
                <w:b/>
                <w:bCs/>
                <w:sz w:val="18"/>
                <w:szCs w:val="18"/>
              </w:rPr>
            </w:pPr>
            <w:r w:rsidRPr="006246DA">
              <w:rPr>
                <w:b/>
                <w:bCs/>
                <w:sz w:val="18"/>
                <w:szCs w:val="18"/>
              </w:rPr>
              <w:t>$’000</w:t>
            </w:r>
          </w:p>
        </w:tc>
        <w:tc>
          <w:tcPr>
            <w:tcW w:w="1223" w:type="dxa"/>
            <w:shd w:val="clear" w:color="auto" w:fill="FFFFFF" w:themeFill="background1"/>
          </w:tcPr>
          <w:p w14:paraId="4F7EABA1" w14:textId="77777777" w:rsidR="006246DA" w:rsidRPr="006246DA" w:rsidRDefault="006246DA" w:rsidP="009D2B3D">
            <w:pPr>
              <w:jc w:val="right"/>
              <w:rPr>
                <w:b/>
                <w:bCs/>
                <w:sz w:val="18"/>
                <w:szCs w:val="18"/>
              </w:rPr>
            </w:pPr>
            <w:r w:rsidRPr="006246DA">
              <w:rPr>
                <w:b/>
                <w:bCs/>
                <w:sz w:val="18"/>
                <w:szCs w:val="18"/>
              </w:rPr>
              <w:t>$’000</w:t>
            </w:r>
          </w:p>
        </w:tc>
        <w:tc>
          <w:tcPr>
            <w:tcW w:w="1222" w:type="dxa"/>
            <w:shd w:val="clear" w:color="auto" w:fill="FFFFFF" w:themeFill="background1"/>
          </w:tcPr>
          <w:p w14:paraId="498B2A90" w14:textId="77777777" w:rsidR="006246DA" w:rsidRPr="006246DA" w:rsidRDefault="006246DA" w:rsidP="009D2B3D">
            <w:pPr>
              <w:jc w:val="right"/>
              <w:rPr>
                <w:b/>
                <w:bCs/>
                <w:sz w:val="18"/>
                <w:szCs w:val="18"/>
              </w:rPr>
            </w:pPr>
            <w:r w:rsidRPr="006246DA">
              <w:rPr>
                <w:b/>
                <w:bCs/>
                <w:sz w:val="18"/>
                <w:szCs w:val="18"/>
              </w:rPr>
              <w:t>$’000</w:t>
            </w:r>
          </w:p>
        </w:tc>
        <w:tc>
          <w:tcPr>
            <w:tcW w:w="1223" w:type="dxa"/>
            <w:shd w:val="clear" w:color="auto" w:fill="FFFFFF" w:themeFill="background1"/>
          </w:tcPr>
          <w:p w14:paraId="7AEC9F70" w14:textId="77777777" w:rsidR="006246DA" w:rsidRPr="006246DA" w:rsidRDefault="006246DA" w:rsidP="009D2B3D">
            <w:pPr>
              <w:jc w:val="right"/>
              <w:rPr>
                <w:b/>
                <w:bCs/>
                <w:sz w:val="18"/>
                <w:szCs w:val="18"/>
              </w:rPr>
            </w:pPr>
            <w:r w:rsidRPr="006246DA">
              <w:rPr>
                <w:b/>
                <w:bCs/>
                <w:sz w:val="18"/>
                <w:szCs w:val="18"/>
              </w:rPr>
              <w:t>$’000</w:t>
            </w:r>
          </w:p>
        </w:tc>
        <w:tc>
          <w:tcPr>
            <w:tcW w:w="1222" w:type="dxa"/>
            <w:shd w:val="clear" w:color="auto" w:fill="FFFFFF" w:themeFill="background1"/>
          </w:tcPr>
          <w:p w14:paraId="62AD96AD" w14:textId="77777777" w:rsidR="006246DA" w:rsidRPr="006246DA" w:rsidRDefault="006246DA" w:rsidP="009D2B3D">
            <w:pPr>
              <w:jc w:val="right"/>
              <w:rPr>
                <w:b/>
                <w:bCs/>
                <w:sz w:val="18"/>
                <w:szCs w:val="18"/>
              </w:rPr>
            </w:pPr>
            <w:r w:rsidRPr="006246DA">
              <w:rPr>
                <w:b/>
                <w:bCs/>
                <w:sz w:val="18"/>
                <w:szCs w:val="18"/>
              </w:rPr>
              <w:t>$’000</w:t>
            </w:r>
          </w:p>
        </w:tc>
        <w:tc>
          <w:tcPr>
            <w:tcW w:w="1223" w:type="dxa"/>
            <w:shd w:val="clear" w:color="auto" w:fill="FFFFFF" w:themeFill="background1"/>
          </w:tcPr>
          <w:p w14:paraId="387A68F4" w14:textId="77777777" w:rsidR="006246DA" w:rsidRPr="006246DA" w:rsidRDefault="006246DA" w:rsidP="009D2B3D">
            <w:pPr>
              <w:jc w:val="right"/>
              <w:rPr>
                <w:b/>
                <w:bCs/>
                <w:sz w:val="18"/>
                <w:szCs w:val="18"/>
              </w:rPr>
            </w:pPr>
            <w:r w:rsidRPr="006246DA">
              <w:rPr>
                <w:b/>
                <w:bCs/>
                <w:sz w:val="18"/>
                <w:szCs w:val="18"/>
              </w:rPr>
              <w:t>$’000</w:t>
            </w:r>
          </w:p>
        </w:tc>
      </w:tr>
      <w:tr w:rsidR="006246DA" w:rsidRPr="00724CAE" w14:paraId="0F91B52E" w14:textId="77777777" w:rsidTr="00853B07">
        <w:trPr>
          <w:cantSplit/>
          <w:trHeight w:val="15"/>
        </w:trPr>
        <w:tc>
          <w:tcPr>
            <w:tcW w:w="11340" w:type="dxa"/>
            <w:gridSpan w:val="9"/>
            <w:shd w:val="clear" w:color="auto" w:fill="FFFFFF" w:themeFill="background1"/>
          </w:tcPr>
          <w:p w14:paraId="1EFA9E25" w14:textId="77777777" w:rsidR="006246DA" w:rsidRPr="006246DA" w:rsidRDefault="006246DA" w:rsidP="00853B07">
            <w:pPr>
              <w:rPr>
                <w:b/>
                <w:bCs/>
                <w:sz w:val="18"/>
                <w:szCs w:val="18"/>
              </w:rPr>
            </w:pPr>
            <w:r w:rsidRPr="006246DA">
              <w:rPr>
                <w:b/>
                <w:bCs/>
                <w:sz w:val="18"/>
                <w:szCs w:val="18"/>
              </w:rPr>
              <w:t>For the year ended 30 June 2025</w:t>
            </w:r>
          </w:p>
        </w:tc>
      </w:tr>
      <w:tr w:rsidR="006246DA" w:rsidRPr="00724CAE" w14:paraId="21F9728F" w14:textId="77777777" w:rsidTr="00853B07">
        <w:trPr>
          <w:cantSplit/>
          <w:trHeight w:val="15"/>
        </w:trPr>
        <w:tc>
          <w:tcPr>
            <w:tcW w:w="1560" w:type="dxa"/>
            <w:shd w:val="clear" w:color="auto" w:fill="FFFFFF" w:themeFill="background1"/>
          </w:tcPr>
          <w:p w14:paraId="63E060FA" w14:textId="77777777" w:rsidR="006246DA" w:rsidRPr="006246DA" w:rsidRDefault="006246DA" w:rsidP="006246DA">
            <w:pPr>
              <w:rPr>
                <w:sz w:val="18"/>
                <w:szCs w:val="18"/>
              </w:rPr>
            </w:pPr>
            <w:r w:rsidRPr="006246DA">
              <w:rPr>
                <w:sz w:val="18"/>
                <w:szCs w:val="18"/>
              </w:rPr>
              <w:t xml:space="preserve">Balance </w:t>
            </w:r>
            <w:proofErr w:type="gramStart"/>
            <w:r w:rsidRPr="006246DA">
              <w:rPr>
                <w:sz w:val="18"/>
                <w:szCs w:val="18"/>
              </w:rPr>
              <w:t>at</w:t>
            </w:r>
            <w:proofErr w:type="gramEnd"/>
            <w:r w:rsidRPr="006246DA">
              <w:rPr>
                <w:sz w:val="18"/>
                <w:szCs w:val="18"/>
              </w:rPr>
              <w:t xml:space="preserve"> 1 July 2024</w:t>
            </w:r>
          </w:p>
        </w:tc>
        <w:tc>
          <w:tcPr>
            <w:tcW w:w="1222" w:type="dxa"/>
            <w:shd w:val="clear" w:color="auto" w:fill="FFFFFF" w:themeFill="background1"/>
          </w:tcPr>
          <w:p w14:paraId="31F54AA9" w14:textId="3984BEE9" w:rsidR="006246DA" w:rsidRPr="006246DA" w:rsidRDefault="006246DA" w:rsidP="009D2B3D">
            <w:pPr>
              <w:jc w:val="right"/>
              <w:rPr>
                <w:sz w:val="18"/>
                <w:szCs w:val="18"/>
              </w:rPr>
            </w:pPr>
            <w:r w:rsidRPr="006246DA">
              <w:rPr>
                <w:sz w:val="18"/>
                <w:szCs w:val="18"/>
              </w:rPr>
              <w:t xml:space="preserve"> 1,881,673 </w:t>
            </w:r>
          </w:p>
        </w:tc>
        <w:tc>
          <w:tcPr>
            <w:tcW w:w="1223" w:type="dxa"/>
            <w:shd w:val="clear" w:color="auto" w:fill="FFFFFF" w:themeFill="background1"/>
          </w:tcPr>
          <w:p w14:paraId="2A3E0831" w14:textId="7DEB6A66" w:rsidR="006246DA" w:rsidRPr="006246DA" w:rsidRDefault="006246DA" w:rsidP="009D2B3D">
            <w:pPr>
              <w:jc w:val="right"/>
              <w:rPr>
                <w:sz w:val="18"/>
                <w:szCs w:val="18"/>
              </w:rPr>
            </w:pPr>
            <w:r w:rsidRPr="006246DA">
              <w:rPr>
                <w:sz w:val="18"/>
                <w:szCs w:val="18"/>
              </w:rPr>
              <w:t xml:space="preserve"> 11,029 </w:t>
            </w:r>
          </w:p>
        </w:tc>
        <w:tc>
          <w:tcPr>
            <w:tcW w:w="1222" w:type="dxa"/>
            <w:shd w:val="clear" w:color="auto" w:fill="FFFFFF" w:themeFill="background1"/>
          </w:tcPr>
          <w:p w14:paraId="28CD0EA1" w14:textId="64C1FD62" w:rsidR="006246DA" w:rsidRPr="006246DA" w:rsidRDefault="006246DA" w:rsidP="009D2B3D">
            <w:pPr>
              <w:jc w:val="right"/>
              <w:rPr>
                <w:sz w:val="18"/>
                <w:szCs w:val="18"/>
              </w:rPr>
            </w:pPr>
            <w:r w:rsidRPr="006246DA">
              <w:rPr>
                <w:sz w:val="18"/>
                <w:szCs w:val="18"/>
              </w:rPr>
              <w:t xml:space="preserve"> 12,862 </w:t>
            </w:r>
          </w:p>
        </w:tc>
        <w:tc>
          <w:tcPr>
            <w:tcW w:w="1223" w:type="dxa"/>
            <w:shd w:val="clear" w:color="auto" w:fill="FFFFFF" w:themeFill="background1"/>
          </w:tcPr>
          <w:p w14:paraId="5DB6ED42" w14:textId="264D1405" w:rsidR="006246DA" w:rsidRPr="006246DA" w:rsidRDefault="006246DA" w:rsidP="009D2B3D">
            <w:pPr>
              <w:jc w:val="right"/>
              <w:rPr>
                <w:sz w:val="18"/>
                <w:szCs w:val="18"/>
              </w:rPr>
            </w:pPr>
            <w:r w:rsidRPr="006246DA">
              <w:rPr>
                <w:sz w:val="18"/>
                <w:szCs w:val="18"/>
              </w:rPr>
              <w:t xml:space="preserve"> 411 </w:t>
            </w:r>
          </w:p>
        </w:tc>
        <w:tc>
          <w:tcPr>
            <w:tcW w:w="1222" w:type="dxa"/>
            <w:shd w:val="clear" w:color="auto" w:fill="FFFFFF" w:themeFill="background1"/>
          </w:tcPr>
          <w:p w14:paraId="4DB8F4B6" w14:textId="577D5114" w:rsidR="006246DA" w:rsidRPr="006246DA" w:rsidRDefault="006246DA" w:rsidP="009D2B3D">
            <w:pPr>
              <w:jc w:val="right"/>
              <w:rPr>
                <w:sz w:val="18"/>
                <w:szCs w:val="18"/>
              </w:rPr>
            </w:pPr>
            <w:r w:rsidRPr="006246DA">
              <w:rPr>
                <w:sz w:val="18"/>
                <w:szCs w:val="18"/>
              </w:rPr>
              <w:t xml:space="preserve"> 959,456 </w:t>
            </w:r>
          </w:p>
        </w:tc>
        <w:tc>
          <w:tcPr>
            <w:tcW w:w="1223" w:type="dxa"/>
            <w:shd w:val="clear" w:color="auto" w:fill="FFFFFF" w:themeFill="background1"/>
          </w:tcPr>
          <w:p w14:paraId="4B90CDFF" w14:textId="704E3F10" w:rsidR="006246DA" w:rsidRPr="006246DA" w:rsidRDefault="006246DA" w:rsidP="009D2B3D">
            <w:pPr>
              <w:jc w:val="right"/>
              <w:rPr>
                <w:sz w:val="18"/>
                <w:szCs w:val="18"/>
              </w:rPr>
            </w:pPr>
            <w:r w:rsidRPr="006246DA">
              <w:rPr>
                <w:sz w:val="18"/>
                <w:szCs w:val="18"/>
              </w:rPr>
              <w:t xml:space="preserve"> 2,865,431 </w:t>
            </w:r>
          </w:p>
        </w:tc>
        <w:tc>
          <w:tcPr>
            <w:tcW w:w="1222" w:type="dxa"/>
            <w:shd w:val="clear" w:color="auto" w:fill="FFFFFF" w:themeFill="background1"/>
          </w:tcPr>
          <w:p w14:paraId="0D3B8E59" w14:textId="29E48569" w:rsidR="006246DA" w:rsidRPr="006246DA" w:rsidRDefault="006246DA" w:rsidP="009D2B3D">
            <w:pPr>
              <w:jc w:val="right"/>
              <w:rPr>
                <w:sz w:val="18"/>
                <w:szCs w:val="18"/>
              </w:rPr>
            </w:pPr>
            <w:r w:rsidRPr="006246DA">
              <w:rPr>
                <w:sz w:val="18"/>
                <w:szCs w:val="18"/>
              </w:rPr>
              <w:t xml:space="preserve"> 112,514 </w:t>
            </w:r>
          </w:p>
        </w:tc>
        <w:tc>
          <w:tcPr>
            <w:tcW w:w="1223" w:type="dxa"/>
            <w:shd w:val="clear" w:color="auto" w:fill="FFFFFF" w:themeFill="background1"/>
          </w:tcPr>
          <w:p w14:paraId="40D0B696" w14:textId="0716D152" w:rsidR="006246DA" w:rsidRPr="006246DA" w:rsidRDefault="006246DA" w:rsidP="009D2B3D">
            <w:pPr>
              <w:jc w:val="right"/>
              <w:rPr>
                <w:sz w:val="18"/>
                <w:szCs w:val="18"/>
              </w:rPr>
            </w:pPr>
            <w:r w:rsidRPr="006246DA">
              <w:rPr>
                <w:sz w:val="18"/>
                <w:szCs w:val="18"/>
              </w:rPr>
              <w:t xml:space="preserve"> 2,977,945 </w:t>
            </w:r>
          </w:p>
        </w:tc>
      </w:tr>
      <w:tr w:rsidR="006246DA" w:rsidRPr="00724CAE" w14:paraId="29A0A9E0" w14:textId="77777777" w:rsidTr="00853B07">
        <w:trPr>
          <w:cantSplit/>
          <w:trHeight w:val="15"/>
        </w:trPr>
        <w:tc>
          <w:tcPr>
            <w:tcW w:w="1560" w:type="dxa"/>
            <w:shd w:val="clear" w:color="auto" w:fill="FFFFFF" w:themeFill="background1"/>
          </w:tcPr>
          <w:p w14:paraId="79AC9829" w14:textId="77777777" w:rsidR="006246DA" w:rsidRPr="006246DA" w:rsidRDefault="006246DA" w:rsidP="006246DA">
            <w:pPr>
              <w:rPr>
                <w:b/>
                <w:bCs/>
                <w:sz w:val="18"/>
                <w:szCs w:val="18"/>
              </w:rPr>
            </w:pPr>
            <w:r w:rsidRPr="006246DA">
              <w:rPr>
                <w:b/>
                <w:bCs/>
                <w:sz w:val="18"/>
                <w:szCs w:val="18"/>
              </w:rPr>
              <w:t>Total comprehensive revenue and expense for the year</w:t>
            </w:r>
          </w:p>
        </w:tc>
        <w:tc>
          <w:tcPr>
            <w:tcW w:w="1222" w:type="dxa"/>
            <w:shd w:val="clear" w:color="auto" w:fill="FFFFFF" w:themeFill="background1"/>
          </w:tcPr>
          <w:p w14:paraId="6D565048" w14:textId="7F32786B" w:rsidR="006246DA" w:rsidRPr="006246DA" w:rsidRDefault="006246DA" w:rsidP="009D2B3D">
            <w:pPr>
              <w:jc w:val="right"/>
              <w:rPr>
                <w:sz w:val="18"/>
                <w:szCs w:val="18"/>
              </w:rPr>
            </w:pPr>
            <w:r w:rsidRPr="006246DA">
              <w:rPr>
                <w:sz w:val="18"/>
                <w:szCs w:val="18"/>
              </w:rPr>
              <w:t xml:space="preserve"> 107,327 </w:t>
            </w:r>
          </w:p>
        </w:tc>
        <w:tc>
          <w:tcPr>
            <w:tcW w:w="1223" w:type="dxa"/>
            <w:shd w:val="clear" w:color="auto" w:fill="FFFFFF" w:themeFill="background1"/>
          </w:tcPr>
          <w:p w14:paraId="2352CFDF" w14:textId="6B165FA6" w:rsidR="006246DA" w:rsidRPr="006246DA" w:rsidRDefault="006246DA" w:rsidP="009D2B3D">
            <w:pPr>
              <w:jc w:val="right"/>
              <w:rPr>
                <w:sz w:val="18"/>
                <w:szCs w:val="18"/>
              </w:rPr>
            </w:pPr>
            <w:r w:rsidRPr="006246DA">
              <w:rPr>
                <w:sz w:val="18"/>
                <w:szCs w:val="18"/>
              </w:rPr>
              <w:t xml:space="preserve"> -   </w:t>
            </w:r>
          </w:p>
        </w:tc>
        <w:tc>
          <w:tcPr>
            <w:tcW w:w="1222" w:type="dxa"/>
            <w:shd w:val="clear" w:color="auto" w:fill="FFFFFF" w:themeFill="background1"/>
          </w:tcPr>
          <w:p w14:paraId="3AFD5F46" w14:textId="0C611765" w:rsidR="006246DA" w:rsidRPr="006246DA" w:rsidRDefault="006246DA" w:rsidP="009D2B3D">
            <w:pPr>
              <w:jc w:val="right"/>
              <w:rPr>
                <w:sz w:val="18"/>
                <w:szCs w:val="18"/>
              </w:rPr>
            </w:pPr>
            <w:r w:rsidRPr="006246DA">
              <w:rPr>
                <w:sz w:val="18"/>
                <w:szCs w:val="18"/>
              </w:rPr>
              <w:t xml:space="preserve"> -   </w:t>
            </w:r>
          </w:p>
        </w:tc>
        <w:tc>
          <w:tcPr>
            <w:tcW w:w="1223" w:type="dxa"/>
            <w:shd w:val="clear" w:color="auto" w:fill="FFFFFF" w:themeFill="background1"/>
          </w:tcPr>
          <w:p w14:paraId="253CE24A" w14:textId="2527306D" w:rsidR="006246DA" w:rsidRPr="006246DA" w:rsidRDefault="006246DA" w:rsidP="009D2B3D">
            <w:pPr>
              <w:jc w:val="right"/>
              <w:rPr>
                <w:sz w:val="18"/>
                <w:szCs w:val="18"/>
              </w:rPr>
            </w:pPr>
            <w:r w:rsidRPr="006246DA">
              <w:rPr>
                <w:sz w:val="18"/>
                <w:szCs w:val="18"/>
              </w:rPr>
              <w:t xml:space="preserve"> (588)</w:t>
            </w:r>
          </w:p>
        </w:tc>
        <w:tc>
          <w:tcPr>
            <w:tcW w:w="1222" w:type="dxa"/>
            <w:shd w:val="clear" w:color="auto" w:fill="FFFFFF" w:themeFill="background1"/>
          </w:tcPr>
          <w:p w14:paraId="2BC1ECE7" w14:textId="2EB3793D" w:rsidR="006246DA" w:rsidRPr="006246DA" w:rsidRDefault="006246DA" w:rsidP="009D2B3D">
            <w:pPr>
              <w:jc w:val="right"/>
              <w:rPr>
                <w:sz w:val="18"/>
                <w:szCs w:val="18"/>
              </w:rPr>
            </w:pPr>
            <w:r w:rsidRPr="006246DA">
              <w:rPr>
                <w:sz w:val="18"/>
                <w:szCs w:val="18"/>
              </w:rPr>
              <w:t xml:space="preserve"> 59,769 </w:t>
            </w:r>
          </w:p>
        </w:tc>
        <w:tc>
          <w:tcPr>
            <w:tcW w:w="1223" w:type="dxa"/>
            <w:shd w:val="clear" w:color="auto" w:fill="FFFFFF" w:themeFill="background1"/>
          </w:tcPr>
          <w:p w14:paraId="49AA205A" w14:textId="266AAAC8" w:rsidR="006246DA" w:rsidRPr="006246DA" w:rsidRDefault="006246DA" w:rsidP="009D2B3D">
            <w:pPr>
              <w:jc w:val="right"/>
              <w:rPr>
                <w:sz w:val="18"/>
                <w:szCs w:val="18"/>
              </w:rPr>
            </w:pPr>
            <w:r w:rsidRPr="006246DA">
              <w:rPr>
                <w:sz w:val="18"/>
                <w:szCs w:val="18"/>
              </w:rPr>
              <w:t xml:space="preserve"> 166,508 </w:t>
            </w:r>
          </w:p>
        </w:tc>
        <w:tc>
          <w:tcPr>
            <w:tcW w:w="1222" w:type="dxa"/>
            <w:shd w:val="clear" w:color="auto" w:fill="FFFFFF" w:themeFill="background1"/>
          </w:tcPr>
          <w:p w14:paraId="1EA7ECA5" w14:textId="0E841E37" w:rsidR="006246DA" w:rsidRPr="006246DA" w:rsidRDefault="006246DA" w:rsidP="009D2B3D">
            <w:pPr>
              <w:jc w:val="right"/>
              <w:rPr>
                <w:sz w:val="18"/>
                <w:szCs w:val="18"/>
              </w:rPr>
            </w:pPr>
            <w:r w:rsidRPr="006246DA">
              <w:rPr>
                <w:sz w:val="18"/>
                <w:szCs w:val="18"/>
              </w:rPr>
              <w:t xml:space="preserve"> 21,409 </w:t>
            </w:r>
          </w:p>
        </w:tc>
        <w:tc>
          <w:tcPr>
            <w:tcW w:w="1223" w:type="dxa"/>
            <w:shd w:val="clear" w:color="auto" w:fill="FFFFFF" w:themeFill="background1"/>
          </w:tcPr>
          <w:p w14:paraId="2B2E4884" w14:textId="622A551A" w:rsidR="006246DA" w:rsidRPr="006246DA" w:rsidRDefault="006246DA" w:rsidP="009D2B3D">
            <w:pPr>
              <w:jc w:val="right"/>
              <w:rPr>
                <w:sz w:val="18"/>
                <w:szCs w:val="18"/>
              </w:rPr>
            </w:pPr>
            <w:r w:rsidRPr="006246DA">
              <w:rPr>
                <w:sz w:val="18"/>
                <w:szCs w:val="18"/>
              </w:rPr>
              <w:t xml:space="preserve"> 187,917 </w:t>
            </w:r>
          </w:p>
        </w:tc>
      </w:tr>
      <w:tr w:rsidR="006246DA" w:rsidRPr="00724CAE" w14:paraId="4137A37B" w14:textId="77777777" w:rsidTr="00853B07">
        <w:trPr>
          <w:cantSplit/>
          <w:trHeight w:val="15"/>
        </w:trPr>
        <w:tc>
          <w:tcPr>
            <w:tcW w:w="1560" w:type="dxa"/>
            <w:shd w:val="clear" w:color="auto" w:fill="FFFFFF" w:themeFill="background1"/>
          </w:tcPr>
          <w:p w14:paraId="13A1B984" w14:textId="386EDE96" w:rsidR="006246DA" w:rsidRPr="006246DA" w:rsidRDefault="006246DA" w:rsidP="006246DA">
            <w:pPr>
              <w:rPr>
                <w:sz w:val="18"/>
                <w:szCs w:val="18"/>
              </w:rPr>
            </w:pPr>
            <w:r w:rsidRPr="006246DA">
              <w:rPr>
                <w:sz w:val="18"/>
                <w:szCs w:val="18"/>
              </w:rPr>
              <w:t>Dividends paid</w:t>
            </w:r>
          </w:p>
        </w:tc>
        <w:tc>
          <w:tcPr>
            <w:tcW w:w="1222" w:type="dxa"/>
            <w:shd w:val="clear" w:color="auto" w:fill="FFFFFF" w:themeFill="background1"/>
          </w:tcPr>
          <w:p w14:paraId="3E56A6D7" w14:textId="2D8A4AEA" w:rsidR="006246DA" w:rsidRPr="006246DA" w:rsidRDefault="006246DA" w:rsidP="009D2B3D">
            <w:pPr>
              <w:jc w:val="right"/>
              <w:rPr>
                <w:sz w:val="18"/>
                <w:szCs w:val="18"/>
              </w:rPr>
            </w:pPr>
            <w:r w:rsidRPr="006246DA">
              <w:rPr>
                <w:sz w:val="18"/>
                <w:szCs w:val="18"/>
              </w:rPr>
              <w:t xml:space="preserve"> -   </w:t>
            </w:r>
          </w:p>
        </w:tc>
        <w:tc>
          <w:tcPr>
            <w:tcW w:w="1223" w:type="dxa"/>
            <w:shd w:val="clear" w:color="auto" w:fill="FFFFFF" w:themeFill="background1"/>
          </w:tcPr>
          <w:p w14:paraId="1D4B4E30" w14:textId="2687C987" w:rsidR="006246DA" w:rsidRPr="006246DA" w:rsidRDefault="006246DA" w:rsidP="009D2B3D">
            <w:pPr>
              <w:jc w:val="right"/>
              <w:rPr>
                <w:sz w:val="18"/>
                <w:szCs w:val="18"/>
              </w:rPr>
            </w:pPr>
            <w:r w:rsidRPr="006246DA">
              <w:rPr>
                <w:sz w:val="18"/>
                <w:szCs w:val="18"/>
              </w:rPr>
              <w:t xml:space="preserve"> -   </w:t>
            </w:r>
          </w:p>
        </w:tc>
        <w:tc>
          <w:tcPr>
            <w:tcW w:w="1222" w:type="dxa"/>
            <w:shd w:val="clear" w:color="auto" w:fill="FFFFFF" w:themeFill="background1"/>
          </w:tcPr>
          <w:p w14:paraId="6D03573C" w14:textId="510DFFBF" w:rsidR="006246DA" w:rsidRPr="006246DA" w:rsidRDefault="006246DA" w:rsidP="009D2B3D">
            <w:pPr>
              <w:jc w:val="right"/>
              <w:rPr>
                <w:sz w:val="18"/>
                <w:szCs w:val="18"/>
              </w:rPr>
            </w:pPr>
            <w:r w:rsidRPr="006246DA">
              <w:rPr>
                <w:sz w:val="18"/>
                <w:szCs w:val="18"/>
              </w:rPr>
              <w:t xml:space="preserve"> -   </w:t>
            </w:r>
          </w:p>
        </w:tc>
        <w:tc>
          <w:tcPr>
            <w:tcW w:w="1223" w:type="dxa"/>
            <w:shd w:val="clear" w:color="auto" w:fill="FFFFFF" w:themeFill="background1"/>
          </w:tcPr>
          <w:p w14:paraId="343683CC" w14:textId="5B34708D" w:rsidR="006246DA" w:rsidRPr="006246DA" w:rsidRDefault="006246DA" w:rsidP="009D2B3D">
            <w:pPr>
              <w:jc w:val="right"/>
              <w:rPr>
                <w:sz w:val="18"/>
                <w:szCs w:val="18"/>
              </w:rPr>
            </w:pPr>
            <w:r w:rsidRPr="006246DA">
              <w:rPr>
                <w:sz w:val="18"/>
                <w:szCs w:val="18"/>
              </w:rPr>
              <w:t xml:space="preserve"> -   </w:t>
            </w:r>
          </w:p>
        </w:tc>
        <w:tc>
          <w:tcPr>
            <w:tcW w:w="1222" w:type="dxa"/>
            <w:shd w:val="clear" w:color="auto" w:fill="FFFFFF" w:themeFill="background1"/>
          </w:tcPr>
          <w:p w14:paraId="2A6AEB46" w14:textId="6759B5E4" w:rsidR="006246DA" w:rsidRPr="006246DA" w:rsidRDefault="006246DA" w:rsidP="009D2B3D">
            <w:pPr>
              <w:jc w:val="right"/>
              <w:rPr>
                <w:sz w:val="18"/>
                <w:szCs w:val="18"/>
              </w:rPr>
            </w:pPr>
            <w:r w:rsidRPr="006246DA">
              <w:rPr>
                <w:sz w:val="18"/>
                <w:szCs w:val="18"/>
              </w:rPr>
              <w:t xml:space="preserve"> -   </w:t>
            </w:r>
          </w:p>
        </w:tc>
        <w:tc>
          <w:tcPr>
            <w:tcW w:w="1223" w:type="dxa"/>
            <w:shd w:val="clear" w:color="auto" w:fill="FFFFFF" w:themeFill="background1"/>
          </w:tcPr>
          <w:p w14:paraId="62D09ED0" w14:textId="662A0602" w:rsidR="006246DA" w:rsidRPr="006246DA" w:rsidRDefault="006246DA" w:rsidP="009D2B3D">
            <w:pPr>
              <w:jc w:val="right"/>
              <w:rPr>
                <w:sz w:val="18"/>
                <w:szCs w:val="18"/>
              </w:rPr>
            </w:pPr>
            <w:r w:rsidRPr="006246DA">
              <w:rPr>
                <w:sz w:val="18"/>
                <w:szCs w:val="18"/>
              </w:rPr>
              <w:t xml:space="preserve"> -   </w:t>
            </w:r>
          </w:p>
        </w:tc>
        <w:tc>
          <w:tcPr>
            <w:tcW w:w="1222" w:type="dxa"/>
            <w:shd w:val="clear" w:color="auto" w:fill="FFFFFF" w:themeFill="background1"/>
          </w:tcPr>
          <w:p w14:paraId="78698F37" w14:textId="1CD9EF3E" w:rsidR="006246DA" w:rsidRPr="006246DA" w:rsidRDefault="006246DA" w:rsidP="009D2B3D">
            <w:pPr>
              <w:jc w:val="right"/>
              <w:rPr>
                <w:sz w:val="18"/>
                <w:szCs w:val="18"/>
              </w:rPr>
            </w:pPr>
            <w:r w:rsidRPr="006246DA">
              <w:rPr>
                <w:sz w:val="18"/>
                <w:szCs w:val="18"/>
              </w:rPr>
              <w:t xml:space="preserve"> (5,298)</w:t>
            </w:r>
          </w:p>
        </w:tc>
        <w:tc>
          <w:tcPr>
            <w:tcW w:w="1223" w:type="dxa"/>
            <w:shd w:val="clear" w:color="auto" w:fill="FFFFFF" w:themeFill="background1"/>
          </w:tcPr>
          <w:p w14:paraId="04A82247" w14:textId="16221E16" w:rsidR="006246DA" w:rsidRPr="006246DA" w:rsidRDefault="006246DA" w:rsidP="009D2B3D">
            <w:pPr>
              <w:jc w:val="right"/>
              <w:rPr>
                <w:sz w:val="18"/>
                <w:szCs w:val="18"/>
              </w:rPr>
            </w:pPr>
            <w:r w:rsidRPr="006246DA">
              <w:rPr>
                <w:sz w:val="18"/>
                <w:szCs w:val="18"/>
              </w:rPr>
              <w:t xml:space="preserve"> (5,298)</w:t>
            </w:r>
          </w:p>
        </w:tc>
      </w:tr>
      <w:tr w:rsidR="006246DA" w:rsidRPr="00724CAE" w14:paraId="27092C93" w14:textId="77777777" w:rsidTr="00853B07">
        <w:trPr>
          <w:cantSplit/>
          <w:trHeight w:val="15"/>
        </w:trPr>
        <w:tc>
          <w:tcPr>
            <w:tcW w:w="1560" w:type="dxa"/>
            <w:shd w:val="clear" w:color="auto" w:fill="FFFFFF" w:themeFill="background1"/>
          </w:tcPr>
          <w:p w14:paraId="1FB17130" w14:textId="676F3457" w:rsidR="006246DA" w:rsidRPr="006246DA" w:rsidRDefault="006246DA" w:rsidP="006246DA">
            <w:pPr>
              <w:rPr>
                <w:sz w:val="18"/>
                <w:szCs w:val="18"/>
              </w:rPr>
            </w:pPr>
            <w:r w:rsidRPr="006246DA">
              <w:rPr>
                <w:sz w:val="18"/>
                <w:szCs w:val="18"/>
              </w:rPr>
              <w:t>Transfers from/(to) accumulated funds</w:t>
            </w:r>
          </w:p>
        </w:tc>
        <w:tc>
          <w:tcPr>
            <w:tcW w:w="1222" w:type="dxa"/>
            <w:shd w:val="clear" w:color="auto" w:fill="FFFFFF" w:themeFill="background1"/>
          </w:tcPr>
          <w:p w14:paraId="7550137A" w14:textId="35E8E279" w:rsidR="006246DA" w:rsidRPr="006246DA" w:rsidRDefault="006246DA" w:rsidP="009D2B3D">
            <w:pPr>
              <w:jc w:val="right"/>
              <w:rPr>
                <w:sz w:val="18"/>
                <w:szCs w:val="18"/>
              </w:rPr>
            </w:pPr>
            <w:r w:rsidRPr="006246DA">
              <w:rPr>
                <w:sz w:val="18"/>
                <w:szCs w:val="18"/>
              </w:rPr>
              <w:t xml:space="preserve"> 3,460 </w:t>
            </w:r>
          </w:p>
        </w:tc>
        <w:tc>
          <w:tcPr>
            <w:tcW w:w="1223" w:type="dxa"/>
            <w:shd w:val="clear" w:color="auto" w:fill="FFFFFF" w:themeFill="background1"/>
          </w:tcPr>
          <w:p w14:paraId="1C0835BF" w14:textId="42450370" w:rsidR="006246DA" w:rsidRPr="006246DA" w:rsidRDefault="006246DA" w:rsidP="009D2B3D">
            <w:pPr>
              <w:jc w:val="right"/>
              <w:rPr>
                <w:sz w:val="18"/>
                <w:szCs w:val="18"/>
              </w:rPr>
            </w:pPr>
            <w:r w:rsidRPr="006246DA">
              <w:rPr>
                <w:sz w:val="18"/>
                <w:szCs w:val="18"/>
              </w:rPr>
              <w:t xml:space="preserve"> 4,500 </w:t>
            </w:r>
          </w:p>
        </w:tc>
        <w:tc>
          <w:tcPr>
            <w:tcW w:w="1222" w:type="dxa"/>
            <w:shd w:val="clear" w:color="auto" w:fill="FFFFFF" w:themeFill="background1"/>
          </w:tcPr>
          <w:p w14:paraId="02028EC5" w14:textId="6CA1C477" w:rsidR="006246DA" w:rsidRPr="006246DA" w:rsidRDefault="006246DA" w:rsidP="009D2B3D">
            <w:pPr>
              <w:jc w:val="right"/>
              <w:rPr>
                <w:sz w:val="18"/>
                <w:szCs w:val="18"/>
              </w:rPr>
            </w:pPr>
            <w:r w:rsidRPr="006246DA">
              <w:rPr>
                <w:sz w:val="18"/>
                <w:szCs w:val="18"/>
              </w:rPr>
              <w:t xml:space="preserve"> 16,314 </w:t>
            </w:r>
          </w:p>
        </w:tc>
        <w:tc>
          <w:tcPr>
            <w:tcW w:w="1223" w:type="dxa"/>
            <w:shd w:val="clear" w:color="auto" w:fill="FFFFFF" w:themeFill="background1"/>
          </w:tcPr>
          <w:p w14:paraId="372BDFC1" w14:textId="14FAEED6" w:rsidR="006246DA" w:rsidRPr="006246DA" w:rsidRDefault="006246DA" w:rsidP="009D2B3D">
            <w:pPr>
              <w:jc w:val="right"/>
              <w:rPr>
                <w:sz w:val="18"/>
                <w:szCs w:val="18"/>
              </w:rPr>
            </w:pPr>
            <w:r w:rsidRPr="006246DA">
              <w:rPr>
                <w:sz w:val="18"/>
                <w:szCs w:val="18"/>
              </w:rPr>
              <w:t xml:space="preserve"> -   </w:t>
            </w:r>
          </w:p>
        </w:tc>
        <w:tc>
          <w:tcPr>
            <w:tcW w:w="1222" w:type="dxa"/>
            <w:shd w:val="clear" w:color="auto" w:fill="FFFFFF" w:themeFill="background1"/>
          </w:tcPr>
          <w:p w14:paraId="2933ADD5" w14:textId="79A946E7" w:rsidR="006246DA" w:rsidRPr="006246DA" w:rsidRDefault="006246DA" w:rsidP="009D2B3D">
            <w:pPr>
              <w:jc w:val="right"/>
              <w:rPr>
                <w:sz w:val="18"/>
                <w:szCs w:val="18"/>
              </w:rPr>
            </w:pPr>
            <w:r w:rsidRPr="006246DA">
              <w:rPr>
                <w:sz w:val="18"/>
                <w:szCs w:val="18"/>
              </w:rPr>
              <w:t xml:space="preserve"> (24,274)</w:t>
            </w:r>
          </w:p>
        </w:tc>
        <w:tc>
          <w:tcPr>
            <w:tcW w:w="1223" w:type="dxa"/>
            <w:shd w:val="clear" w:color="auto" w:fill="FFFFFF" w:themeFill="background1"/>
          </w:tcPr>
          <w:p w14:paraId="3EA09022" w14:textId="6E1210D7" w:rsidR="006246DA" w:rsidRPr="006246DA" w:rsidRDefault="006246DA" w:rsidP="009D2B3D">
            <w:pPr>
              <w:jc w:val="right"/>
              <w:rPr>
                <w:sz w:val="18"/>
                <w:szCs w:val="18"/>
              </w:rPr>
            </w:pPr>
            <w:r w:rsidRPr="006246DA">
              <w:rPr>
                <w:sz w:val="18"/>
                <w:szCs w:val="18"/>
              </w:rPr>
              <w:t xml:space="preserve"> -   </w:t>
            </w:r>
          </w:p>
        </w:tc>
        <w:tc>
          <w:tcPr>
            <w:tcW w:w="1222" w:type="dxa"/>
            <w:shd w:val="clear" w:color="auto" w:fill="FFFFFF" w:themeFill="background1"/>
          </w:tcPr>
          <w:p w14:paraId="30C63455" w14:textId="461CEAF0" w:rsidR="006246DA" w:rsidRPr="006246DA" w:rsidRDefault="006246DA" w:rsidP="009D2B3D">
            <w:pPr>
              <w:jc w:val="right"/>
              <w:rPr>
                <w:sz w:val="18"/>
                <w:szCs w:val="18"/>
              </w:rPr>
            </w:pPr>
            <w:r w:rsidRPr="006246DA">
              <w:rPr>
                <w:sz w:val="18"/>
                <w:szCs w:val="18"/>
              </w:rPr>
              <w:t xml:space="preserve"> -   </w:t>
            </w:r>
          </w:p>
        </w:tc>
        <w:tc>
          <w:tcPr>
            <w:tcW w:w="1223" w:type="dxa"/>
            <w:shd w:val="clear" w:color="auto" w:fill="FFFFFF" w:themeFill="background1"/>
          </w:tcPr>
          <w:p w14:paraId="3ED25B66" w14:textId="5E6DC324" w:rsidR="006246DA" w:rsidRPr="006246DA" w:rsidRDefault="006246DA" w:rsidP="009D2B3D">
            <w:pPr>
              <w:jc w:val="right"/>
              <w:rPr>
                <w:sz w:val="18"/>
                <w:szCs w:val="18"/>
              </w:rPr>
            </w:pPr>
            <w:r w:rsidRPr="006246DA">
              <w:rPr>
                <w:sz w:val="18"/>
                <w:szCs w:val="18"/>
              </w:rPr>
              <w:t xml:space="preserve"> -   </w:t>
            </w:r>
          </w:p>
        </w:tc>
      </w:tr>
      <w:tr w:rsidR="006246DA" w:rsidRPr="00724CAE" w14:paraId="46D03889" w14:textId="77777777" w:rsidTr="00853B07">
        <w:trPr>
          <w:cantSplit/>
          <w:trHeight w:val="15"/>
        </w:trPr>
        <w:tc>
          <w:tcPr>
            <w:tcW w:w="1560" w:type="dxa"/>
            <w:shd w:val="clear" w:color="auto" w:fill="D9D9D9" w:themeFill="background1" w:themeFillShade="D9"/>
          </w:tcPr>
          <w:p w14:paraId="0E878D8A" w14:textId="77777777" w:rsidR="006246DA" w:rsidRPr="006246DA" w:rsidRDefault="006246DA" w:rsidP="006246DA">
            <w:pPr>
              <w:rPr>
                <w:b/>
                <w:bCs/>
                <w:sz w:val="18"/>
                <w:szCs w:val="18"/>
              </w:rPr>
            </w:pPr>
            <w:r w:rsidRPr="006246DA">
              <w:rPr>
                <w:b/>
                <w:bCs/>
                <w:sz w:val="18"/>
                <w:szCs w:val="18"/>
              </w:rPr>
              <w:t xml:space="preserve">Balance </w:t>
            </w:r>
            <w:proofErr w:type="gramStart"/>
            <w:r w:rsidRPr="006246DA">
              <w:rPr>
                <w:b/>
                <w:bCs/>
                <w:sz w:val="18"/>
                <w:szCs w:val="18"/>
              </w:rPr>
              <w:t>at</w:t>
            </w:r>
            <w:proofErr w:type="gramEnd"/>
            <w:r w:rsidRPr="006246DA">
              <w:rPr>
                <w:b/>
                <w:bCs/>
                <w:sz w:val="18"/>
                <w:szCs w:val="18"/>
              </w:rPr>
              <w:t xml:space="preserve"> 30 June 2025</w:t>
            </w:r>
          </w:p>
        </w:tc>
        <w:tc>
          <w:tcPr>
            <w:tcW w:w="1222" w:type="dxa"/>
            <w:shd w:val="clear" w:color="auto" w:fill="D9D9D9" w:themeFill="background1" w:themeFillShade="D9"/>
          </w:tcPr>
          <w:p w14:paraId="014D912C" w14:textId="51C4B78C" w:rsidR="006246DA" w:rsidRPr="006246DA" w:rsidRDefault="006246DA" w:rsidP="009D2B3D">
            <w:pPr>
              <w:jc w:val="right"/>
              <w:rPr>
                <w:b/>
                <w:bCs/>
                <w:sz w:val="18"/>
                <w:szCs w:val="18"/>
              </w:rPr>
            </w:pPr>
            <w:r w:rsidRPr="006246DA">
              <w:rPr>
                <w:b/>
                <w:bCs/>
                <w:sz w:val="18"/>
                <w:szCs w:val="18"/>
              </w:rPr>
              <w:t xml:space="preserve"> 1,992,460 </w:t>
            </w:r>
          </w:p>
        </w:tc>
        <w:tc>
          <w:tcPr>
            <w:tcW w:w="1223" w:type="dxa"/>
            <w:shd w:val="clear" w:color="auto" w:fill="D9D9D9" w:themeFill="background1" w:themeFillShade="D9"/>
          </w:tcPr>
          <w:p w14:paraId="17C6F4A4" w14:textId="77130E2F" w:rsidR="006246DA" w:rsidRPr="006246DA" w:rsidRDefault="006246DA" w:rsidP="009D2B3D">
            <w:pPr>
              <w:jc w:val="right"/>
              <w:rPr>
                <w:b/>
                <w:bCs/>
                <w:sz w:val="18"/>
                <w:szCs w:val="18"/>
              </w:rPr>
            </w:pPr>
            <w:r w:rsidRPr="006246DA">
              <w:rPr>
                <w:b/>
                <w:bCs/>
                <w:sz w:val="18"/>
                <w:szCs w:val="18"/>
              </w:rPr>
              <w:t xml:space="preserve"> 15,529 </w:t>
            </w:r>
          </w:p>
        </w:tc>
        <w:tc>
          <w:tcPr>
            <w:tcW w:w="1222" w:type="dxa"/>
            <w:shd w:val="clear" w:color="auto" w:fill="D9D9D9" w:themeFill="background1" w:themeFillShade="D9"/>
          </w:tcPr>
          <w:p w14:paraId="46A3FF23" w14:textId="69764A43" w:rsidR="006246DA" w:rsidRPr="006246DA" w:rsidRDefault="006246DA" w:rsidP="009D2B3D">
            <w:pPr>
              <w:jc w:val="right"/>
              <w:rPr>
                <w:b/>
                <w:bCs/>
                <w:sz w:val="18"/>
                <w:szCs w:val="18"/>
              </w:rPr>
            </w:pPr>
            <w:r w:rsidRPr="006246DA">
              <w:rPr>
                <w:b/>
                <w:bCs/>
                <w:sz w:val="18"/>
                <w:szCs w:val="18"/>
              </w:rPr>
              <w:t xml:space="preserve"> 29,176 </w:t>
            </w:r>
          </w:p>
        </w:tc>
        <w:tc>
          <w:tcPr>
            <w:tcW w:w="1223" w:type="dxa"/>
            <w:shd w:val="clear" w:color="auto" w:fill="D9D9D9" w:themeFill="background1" w:themeFillShade="D9"/>
          </w:tcPr>
          <w:p w14:paraId="1C7FB29A" w14:textId="31627D03" w:rsidR="006246DA" w:rsidRPr="006246DA" w:rsidRDefault="006246DA" w:rsidP="009D2B3D">
            <w:pPr>
              <w:jc w:val="right"/>
              <w:rPr>
                <w:b/>
                <w:bCs/>
                <w:sz w:val="18"/>
                <w:szCs w:val="18"/>
              </w:rPr>
            </w:pPr>
            <w:r w:rsidRPr="006246DA">
              <w:rPr>
                <w:b/>
                <w:bCs/>
                <w:sz w:val="18"/>
                <w:szCs w:val="18"/>
              </w:rPr>
              <w:t xml:space="preserve"> (177)</w:t>
            </w:r>
          </w:p>
        </w:tc>
        <w:tc>
          <w:tcPr>
            <w:tcW w:w="1222" w:type="dxa"/>
            <w:shd w:val="clear" w:color="auto" w:fill="D9D9D9" w:themeFill="background1" w:themeFillShade="D9"/>
          </w:tcPr>
          <w:p w14:paraId="69F387AC" w14:textId="2726C5EE" w:rsidR="006246DA" w:rsidRPr="006246DA" w:rsidRDefault="006246DA" w:rsidP="009D2B3D">
            <w:pPr>
              <w:jc w:val="right"/>
              <w:rPr>
                <w:b/>
                <w:bCs/>
                <w:sz w:val="18"/>
                <w:szCs w:val="18"/>
              </w:rPr>
            </w:pPr>
            <w:r w:rsidRPr="006246DA">
              <w:rPr>
                <w:b/>
                <w:bCs/>
                <w:sz w:val="18"/>
                <w:szCs w:val="18"/>
              </w:rPr>
              <w:t xml:space="preserve"> 994,951 </w:t>
            </w:r>
          </w:p>
        </w:tc>
        <w:tc>
          <w:tcPr>
            <w:tcW w:w="1223" w:type="dxa"/>
            <w:shd w:val="clear" w:color="auto" w:fill="D9D9D9" w:themeFill="background1" w:themeFillShade="D9"/>
          </w:tcPr>
          <w:p w14:paraId="3EA8C77F" w14:textId="03216B77" w:rsidR="006246DA" w:rsidRPr="006246DA" w:rsidRDefault="006246DA" w:rsidP="009D2B3D">
            <w:pPr>
              <w:jc w:val="right"/>
              <w:rPr>
                <w:b/>
                <w:bCs/>
                <w:sz w:val="18"/>
                <w:szCs w:val="18"/>
              </w:rPr>
            </w:pPr>
            <w:r w:rsidRPr="006246DA">
              <w:rPr>
                <w:b/>
                <w:bCs/>
                <w:sz w:val="18"/>
                <w:szCs w:val="18"/>
              </w:rPr>
              <w:t xml:space="preserve"> 3,031,939 </w:t>
            </w:r>
          </w:p>
        </w:tc>
        <w:tc>
          <w:tcPr>
            <w:tcW w:w="1222" w:type="dxa"/>
            <w:shd w:val="clear" w:color="auto" w:fill="D9D9D9" w:themeFill="background1" w:themeFillShade="D9"/>
          </w:tcPr>
          <w:p w14:paraId="6BFA3032" w14:textId="72F364B4" w:rsidR="006246DA" w:rsidRPr="006246DA" w:rsidRDefault="006246DA" w:rsidP="009D2B3D">
            <w:pPr>
              <w:jc w:val="right"/>
              <w:rPr>
                <w:b/>
                <w:bCs/>
                <w:sz w:val="18"/>
                <w:szCs w:val="18"/>
              </w:rPr>
            </w:pPr>
            <w:r w:rsidRPr="006246DA">
              <w:rPr>
                <w:b/>
                <w:bCs/>
                <w:sz w:val="18"/>
                <w:szCs w:val="18"/>
              </w:rPr>
              <w:t xml:space="preserve"> 128,625 </w:t>
            </w:r>
          </w:p>
        </w:tc>
        <w:tc>
          <w:tcPr>
            <w:tcW w:w="1223" w:type="dxa"/>
            <w:shd w:val="clear" w:color="auto" w:fill="D9D9D9" w:themeFill="background1" w:themeFillShade="D9"/>
          </w:tcPr>
          <w:p w14:paraId="7817DEEE" w14:textId="72761574" w:rsidR="006246DA" w:rsidRPr="006246DA" w:rsidRDefault="006246DA" w:rsidP="009D2B3D">
            <w:pPr>
              <w:jc w:val="right"/>
              <w:rPr>
                <w:b/>
                <w:bCs/>
                <w:sz w:val="18"/>
                <w:szCs w:val="18"/>
              </w:rPr>
            </w:pPr>
            <w:r w:rsidRPr="006246DA">
              <w:rPr>
                <w:b/>
                <w:bCs/>
                <w:sz w:val="18"/>
                <w:szCs w:val="18"/>
              </w:rPr>
              <w:t xml:space="preserve"> 3,160,564 </w:t>
            </w:r>
          </w:p>
        </w:tc>
      </w:tr>
      <w:tr w:rsidR="006246DA" w:rsidRPr="00724CAE" w14:paraId="0739136E" w14:textId="77777777" w:rsidTr="00853B07">
        <w:trPr>
          <w:cantSplit/>
          <w:trHeight w:val="15"/>
        </w:trPr>
        <w:tc>
          <w:tcPr>
            <w:tcW w:w="11340" w:type="dxa"/>
            <w:gridSpan w:val="9"/>
            <w:shd w:val="clear" w:color="auto" w:fill="FFFFFF" w:themeFill="background1"/>
          </w:tcPr>
          <w:p w14:paraId="3D15C526" w14:textId="77777777" w:rsidR="006246DA" w:rsidRPr="006246DA" w:rsidRDefault="006246DA" w:rsidP="00853B07">
            <w:pPr>
              <w:rPr>
                <w:b/>
                <w:bCs/>
                <w:sz w:val="18"/>
                <w:szCs w:val="18"/>
              </w:rPr>
            </w:pPr>
            <w:r w:rsidRPr="006246DA">
              <w:rPr>
                <w:b/>
                <w:bCs/>
                <w:sz w:val="18"/>
                <w:szCs w:val="18"/>
              </w:rPr>
              <w:t>For the year ended 30 June 2024 Restated (</w:t>
            </w:r>
            <w:proofErr w:type="spellStart"/>
            <w:r w:rsidRPr="006246DA">
              <w:rPr>
                <w:b/>
                <w:bCs/>
                <w:sz w:val="18"/>
                <w:szCs w:val="18"/>
              </w:rPr>
              <w:t>i</w:t>
            </w:r>
            <w:proofErr w:type="spellEnd"/>
            <w:r w:rsidRPr="006246DA">
              <w:rPr>
                <w:b/>
                <w:bCs/>
                <w:sz w:val="18"/>
                <w:szCs w:val="18"/>
              </w:rPr>
              <w:t>)</w:t>
            </w:r>
          </w:p>
        </w:tc>
      </w:tr>
      <w:tr w:rsidR="006246DA" w:rsidRPr="00724CAE" w14:paraId="2BFF5E0E" w14:textId="77777777" w:rsidTr="00853B07">
        <w:trPr>
          <w:cantSplit/>
          <w:trHeight w:val="15"/>
        </w:trPr>
        <w:tc>
          <w:tcPr>
            <w:tcW w:w="1560" w:type="dxa"/>
            <w:shd w:val="clear" w:color="auto" w:fill="FFFFFF" w:themeFill="background1"/>
          </w:tcPr>
          <w:p w14:paraId="33AB2785" w14:textId="77777777" w:rsidR="006246DA" w:rsidRPr="006246DA" w:rsidRDefault="006246DA" w:rsidP="006246DA">
            <w:pPr>
              <w:rPr>
                <w:sz w:val="18"/>
                <w:szCs w:val="18"/>
              </w:rPr>
            </w:pPr>
            <w:r w:rsidRPr="006246DA">
              <w:rPr>
                <w:sz w:val="18"/>
                <w:szCs w:val="18"/>
              </w:rPr>
              <w:t xml:space="preserve">Balance </w:t>
            </w:r>
            <w:proofErr w:type="gramStart"/>
            <w:r w:rsidRPr="006246DA">
              <w:rPr>
                <w:sz w:val="18"/>
                <w:szCs w:val="18"/>
              </w:rPr>
              <w:t>at</w:t>
            </w:r>
            <w:proofErr w:type="gramEnd"/>
            <w:r w:rsidRPr="006246DA">
              <w:rPr>
                <w:sz w:val="18"/>
                <w:szCs w:val="18"/>
              </w:rPr>
              <w:t xml:space="preserve"> 1 July 2023</w:t>
            </w:r>
          </w:p>
        </w:tc>
        <w:tc>
          <w:tcPr>
            <w:tcW w:w="1222" w:type="dxa"/>
            <w:shd w:val="clear" w:color="auto" w:fill="FFFFFF" w:themeFill="background1"/>
          </w:tcPr>
          <w:p w14:paraId="4817FADF" w14:textId="574FAAC8" w:rsidR="006246DA" w:rsidRPr="006246DA" w:rsidRDefault="006246DA" w:rsidP="009D2B3D">
            <w:pPr>
              <w:jc w:val="right"/>
              <w:rPr>
                <w:sz w:val="18"/>
                <w:szCs w:val="18"/>
              </w:rPr>
            </w:pPr>
            <w:r w:rsidRPr="006246DA">
              <w:rPr>
                <w:sz w:val="18"/>
                <w:szCs w:val="18"/>
              </w:rPr>
              <w:t xml:space="preserve"> 1,890,345 </w:t>
            </w:r>
          </w:p>
        </w:tc>
        <w:tc>
          <w:tcPr>
            <w:tcW w:w="1223" w:type="dxa"/>
            <w:shd w:val="clear" w:color="auto" w:fill="FFFFFF" w:themeFill="background1"/>
          </w:tcPr>
          <w:p w14:paraId="5B0029E2" w14:textId="07FCE86B" w:rsidR="006246DA" w:rsidRPr="006246DA" w:rsidRDefault="006246DA" w:rsidP="009D2B3D">
            <w:pPr>
              <w:jc w:val="right"/>
              <w:rPr>
                <w:sz w:val="18"/>
                <w:szCs w:val="18"/>
              </w:rPr>
            </w:pPr>
            <w:r w:rsidRPr="006246DA">
              <w:rPr>
                <w:sz w:val="18"/>
                <w:szCs w:val="18"/>
              </w:rPr>
              <w:t xml:space="preserve"> 21,000 </w:t>
            </w:r>
          </w:p>
        </w:tc>
        <w:tc>
          <w:tcPr>
            <w:tcW w:w="1222" w:type="dxa"/>
            <w:shd w:val="clear" w:color="auto" w:fill="FFFFFF" w:themeFill="background1"/>
          </w:tcPr>
          <w:p w14:paraId="30539A05" w14:textId="4C21A974" w:rsidR="006246DA" w:rsidRPr="006246DA" w:rsidRDefault="006246DA" w:rsidP="009D2B3D">
            <w:pPr>
              <w:jc w:val="right"/>
              <w:rPr>
                <w:sz w:val="18"/>
                <w:szCs w:val="18"/>
              </w:rPr>
            </w:pPr>
            <w:r w:rsidRPr="006246DA">
              <w:rPr>
                <w:sz w:val="18"/>
                <w:szCs w:val="18"/>
              </w:rPr>
              <w:t xml:space="preserve"> 22,425 </w:t>
            </w:r>
          </w:p>
        </w:tc>
        <w:tc>
          <w:tcPr>
            <w:tcW w:w="1223" w:type="dxa"/>
            <w:shd w:val="clear" w:color="auto" w:fill="FFFFFF" w:themeFill="background1"/>
          </w:tcPr>
          <w:p w14:paraId="12488045" w14:textId="2A0E4441" w:rsidR="006246DA" w:rsidRPr="006246DA" w:rsidRDefault="006246DA" w:rsidP="009D2B3D">
            <w:pPr>
              <w:jc w:val="right"/>
              <w:rPr>
                <w:sz w:val="18"/>
                <w:szCs w:val="18"/>
              </w:rPr>
            </w:pPr>
            <w:r w:rsidRPr="006246DA">
              <w:rPr>
                <w:sz w:val="18"/>
                <w:szCs w:val="18"/>
              </w:rPr>
              <w:t xml:space="preserve"> 527 </w:t>
            </w:r>
          </w:p>
        </w:tc>
        <w:tc>
          <w:tcPr>
            <w:tcW w:w="1222" w:type="dxa"/>
            <w:shd w:val="clear" w:color="auto" w:fill="FFFFFF" w:themeFill="background1"/>
          </w:tcPr>
          <w:p w14:paraId="026D915D" w14:textId="116D2922" w:rsidR="006246DA" w:rsidRPr="006246DA" w:rsidRDefault="006246DA" w:rsidP="009D2B3D">
            <w:pPr>
              <w:jc w:val="right"/>
              <w:rPr>
                <w:sz w:val="18"/>
                <w:szCs w:val="18"/>
              </w:rPr>
            </w:pPr>
            <w:r w:rsidRPr="006246DA">
              <w:rPr>
                <w:sz w:val="18"/>
                <w:szCs w:val="18"/>
              </w:rPr>
              <w:t xml:space="preserve"> 843,947 </w:t>
            </w:r>
          </w:p>
        </w:tc>
        <w:tc>
          <w:tcPr>
            <w:tcW w:w="1223" w:type="dxa"/>
            <w:shd w:val="clear" w:color="auto" w:fill="FFFFFF" w:themeFill="background1"/>
          </w:tcPr>
          <w:p w14:paraId="406E5C66" w14:textId="725ACE12" w:rsidR="006246DA" w:rsidRPr="006246DA" w:rsidRDefault="006246DA" w:rsidP="009D2B3D">
            <w:pPr>
              <w:jc w:val="right"/>
              <w:rPr>
                <w:sz w:val="18"/>
                <w:szCs w:val="18"/>
              </w:rPr>
            </w:pPr>
            <w:r w:rsidRPr="006246DA">
              <w:rPr>
                <w:sz w:val="18"/>
                <w:szCs w:val="18"/>
              </w:rPr>
              <w:t xml:space="preserve"> 2,778,244 </w:t>
            </w:r>
          </w:p>
        </w:tc>
        <w:tc>
          <w:tcPr>
            <w:tcW w:w="1222" w:type="dxa"/>
            <w:shd w:val="clear" w:color="auto" w:fill="FFFFFF" w:themeFill="background1"/>
          </w:tcPr>
          <w:p w14:paraId="64DB9710" w14:textId="4574C331" w:rsidR="006246DA" w:rsidRPr="006246DA" w:rsidRDefault="006246DA" w:rsidP="009D2B3D">
            <w:pPr>
              <w:jc w:val="right"/>
              <w:rPr>
                <w:sz w:val="18"/>
                <w:szCs w:val="18"/>
              </w:rPr>
            </w:pPr>
            <w:r w:rsidRPr="006246DA">
              <w:rPr>
                <w:sz w:val="18"/>
                <w:szCs w:val="18"/>
              </w:rPr>
              <w:t xml:space="preserve"> 112,148 </w:t>
            </w:r>
          </w:p>
        </w:tc>
        <w:tc>
          <w:tcPr>
            <w:tcW w:w="1223" w:type="dxa"/>
            <w:shd w:val="clear" w:color="auto" w:fill="FFFFFF" w:themeFill="background1"/>
          </w:tcPr>
          <w:p w14:paraId="573F21C5" w14:textId="2BF4DB46" w:rsidR="006246DA" w:rsidRPr="006246DA" w:rsidRDefault="006246DA" w:rsidP="009D2B3D">
            <w:pPr>
              <w:jc w:val="right"/>
              <w:rPr>
                <w:sz w:val="18"/>
                <w:szCs w:val="18"/>
              </w:rPr>
            </w:pPr>
            <w:r w:rsidRPr="006246DA">
              <w:rPr>
                <w:sz w:val="18"/>
                <w:szCs w:val="18"/>
              </w:rPr>
              <w:t xml:space="preserve"> 2,890,392 </w:t>
            </w:r>
          </w:p>
        </w:tc>
      </w:tr>
      <w:tr w:rsidR="006246DA" w:rsidRPr="00724CAE" w14:paraId="1A96A672" w14:textId="77777777" w:rsidTr="00853B07">
        <w:trPr>
          <w:cantSplit/>
          <w:trHeight w:val="15"/>
        </w:trPr>
        <w:tc>
          <w:tcPr>
            <w:tcW w:w="1560" w:type="dxa"/>
            <w:shd w:val="clear" w:color="auto" w:fill="FFFFFF" w:themeFill="background1"/>
          </w:tcPr>
          <w:p w14:paraId="7EC8109B" w14:textId="7268EFE6" w:rsidR="006246DA" w:rsidRPr="006246DA" w:rsidRDefault="006246DA" w:rsidP="006246DA">
            <w:pPr>
              <w:rPr>
                <w:b/>
                <w:bCs/>
                <w:sz w:val="18"/>
                <w:szCs w:val="18"/>
              </w:rPr>
            </w:pPr>
            <w:r w:rsidRPr="006246DA">
              <w:rPr>
                <w:b/>
                <w:bCs/>
                <w:sz w:val="18"/>
                <w:szCs w:val="18"/>
              </w:rPr>
              <w:t>Total comprehensive revenue and expense for the year (Restated) (</w:t>
            </w:r>
            <w:proofErr w:type="spellStart"/>
            <w:r w:rsidRPr="006246DA">
              <w:rPr>
                <w:b/>
                <w:bCs/>
                <w:sz w:val="18"/>
                <w:szCs w:val="18"/>
              </w:rPr>
              <w:t>i</w:t>
            </w:r>
            <w:proofErr w:type="spellEnd"/>
            <w:r w:rsidRPr="006246DA">
              <w:rPr>
                <w:b/>
                <w:bCs/>
                <w:sz w:val="18"/>
                <w:szCs w:val="18"/>
              </w:rPr>
              <w:t>)</w:t>
            </w:r>
          </w:p>
        </w:tc>
        <w:tc>
          <w:tcPr>
            <w:tcW w:w="1222" w:type="dxa"/>
            <w:shd w:val="clear" w:color="auto" w:fill="FFFFFF" w:themeFill="background1"/>
          </w:tcPr>
          <w:p w14:paraId="5C31FC20" w14:textId="17BE12FE" w:rsidR="006246DA" w:rsidRPr="006246DA" w:rsidRDefault="006246DA" w:rsidP="009D2B3D">
            <w:pPr>
              <w:jc w:val="right"/>
              <w:rPr>
                <w:sz w:val="18"/>
                <w:szCs w:val="18"/>
              </w:rPr>
            </w:pPr>
            <w:r w:rsidRPr="006246DA">
              <w:rPr>
                <w:sz w:val="18"/>
                <w:szCs w:val="18"/>
              </w:rPr>
              <w:t xml:space="preserve"> (9,732)</w:t>
            </w:r>
          </w:p>
        </w:tc>
        <w:tc>
          <w:tcPr>
            <w:tcW w:w="1223" w:type="dxa"/>
            <w:shd w:val="clear" w:color="auto" w:fill="FFFFFF" w:themeFill="background1"/>
          </w:tcPr>
          <w:p w14:paraId="04A22E2C" w14:textId="6A5A98B2" w:rsidR="006246DA" w:rsidRPr="006246DA" w:rsidRDefault="006246DA" w:rsidP="009D2B3D">
            <w:pPr>
              <w:jc w:val="right"/>
              <w:rPr>
                <w:sz w:val="18"/>
                <w:szCs w:val="18"/>
              </w:rPr>
            </w:pPr>
            <w:r w:rsidRPr="006246DA">
              <w:rPr>
                <w:sz w:val="18"/>
                <w:szCs w:val="18"/>
              </w:rPr>
              <w:t xml:space="preserve"> -   </w:t>
            </w:r>
          </w:p>
        </w:tc>
        <w:tc>
          <w:tcPr>
            <w:tcW w:w="1222" w:type="dxa"/>
            <w:shd w:val="clear" w:color="auto" w:fill="FFFFFF" w:themeFill="background1"/>
          </w:tcPr>
          <w:p w14:paraId="5CD1F997" w14:textId="26B5731E" w:rsidR="006246DA" w:rsidRPr="006246DA" w:rsidRDefault="006246DA" w:rsidP="009D2B3D">
            <w:pPr>
              <w:jc w:val="right"/>
              <w:rPr>
                <w:sz w:val="18"/>
                <w:szCs w:val="18"/>
              </w:rPr>
            </w:pPr>
            <w:r w:rsidRPr="006246DA">
              <w:rPr>
                <w:sz w:val="18"/>
                <w:szCs w:val="18"/>
              </w:rPr>
              <w:t xml:space="preserve"> -   </w:t>
            </w:r>
          </w:p>
        </w:tc>
        <w:tc>
          <w:tcPr>
            <w:tcW w:w="1223" w:type="dxa"/>
            <w:shd w:val="clear" w:color="auto" w:fill="FFFFFF" w:themeFill="background1"/>
          </w:tcPr>
          <w:p w14:paraId="7E610B1D" w14:textId="26D3D626" w:rsidR="006246DA" w:rsidRPr="006246DA" w:rsidRDefault="006246DA" w:rsidP="009D2B3D">
            <w:pPr>
              <w:jc w:val="right"/>
              <w:rPr>
                <w:sz w:val="18"/>
                <w:szCs w:val="18"/>
              </w:rPr>
            </w:pPr>
            <w:r w:rsidRPr="006246DA">
              <w:rPr>
                <w:sz w:val="18"/>
                <w:szCs w:val="18"/>
              </w:rPr>
              <w:t xml:space="preserve"> (116)</w:t>
            </w:r>
          </w:p>
        </w:tc>
        <w:tc>
          <w:tcPr>
            <w:tcW w:w="1222" w:type="dxa"/>
            <w:shd w:val="clear" w:color="auto" w:fill="FFFFFF" w:themeFill="background1"/>
          </w:tcPr>
          <w:p w14:paraId="6BF46200" w14:textId="3C1D18E4" w:rsidR="006246DA" w:rsidRPr="006246DA" w:rsidRDefault="006246DA" w:rsidP="009D2B3D">
            <w:pPr>
              <w:jc w:val="right"/>
              <w:rPr>
                <w:sz w:val="18"/>
                <w:szCs w:val="18"/>
              </w:rPr>
            </w:pPr>
            <w:r w:rsidRPr="006246DA">
              <w:rPr>
                <w:sz w:val="18"/>
                <w:szCs w:val="18"/>
              </w:rPr>
              <w:t xml:space="preserve"> 97,035 </w:t>
            </w:r>
          </w:p>
        </w:tc>
        <w:tc>
          <w:tcPr>
            <w:tcW w:w="1223" w:type="dxa"/>
            <w:shd w:val="clear" w:color="auto" w:fill="FFFFFF" w:themeFill="background1"/>
          </w:tcPr>
          <w:p w14:paraId="19608D9E" w14:textId="0A9986D9" w:rsidR="006246DA" w:rsidRPr="006246DA" w:rsidRDefault="006246DA" w:rsidP="009D2B3D">
            <w:pPr>
              <w:jc w:val="right"/>
              <w:rPr>
                <w:sz w:val="18"/>
                <w:szCs w:val="18"/>
              </w:rPr>
            </w:pPr>
            <w:r w:rsidRPr="006246DA">
              <w:rPr>
                <w:sz w:val="18"/>
                <w:szCs w:val="18"/>
              </w:rPr>
              <w:t xml:space="preserve"> 87,187 </w:t>
            </w:r>
          </w:p>
        </w:tc>
        <w:tc>
          <w:tcPr>
            <w:tcW w:w="1222" w:type="dxa"/>
            <w:shd w:val="clear" w:color="auto" w:fill="FFFFFF" w:themeFill="background1"/>
          </w:tcPr>
          <w:p w14:paraId="2825A45E" w14:textId="583994BF" w:rsidR="006246DA" w:rsidRPr="006246DA" w:rsidRDefault="006246DA" w:rsidP="009D2B3D">
            <w:pPr>
              <w:jc w:val="right"/>
              <w:rPr>
                <w:sz w:val="18"/>
                <w:szCs w:val="18"/>
              </w:rPr>
            </w:pPr>
            <w:r w:rsidRPr="006246DA">
              <w:rPr>
                <w:sz w:val="18"/>
                <w:szCs w:val="18"/>
              </w:rPr>
              <w:t xml:space="preserve"> 4,083 </w:t>
            </w:r>
          </w:p>
        </w:tc>
        <w:tc>
          <w:tcPr>
            <w:tcW w:w="1223" w:type="dxa"/>
            <w:shd w:val="clear" w:color="auto" w:fill="FFFFFF" w:themeFill="background1"/>
          </w:tcPr>
          <w:p w14:paraId="471F65F1" w14:textId="54EBE7DD" w:rsidR="006246DA" w:rsidRPr="006246DA" w:rsidRDefault="006246DA" w:rsidP="009D2B3D">
            <w:pPr>
              <w:jc w:val="right"/>
              <w:rPr>
                <w:sz w:val="18"/>
                <w:szCs w:val="18"/>
              </w:rPr>
            </w:pPr>
            <w:r w:rsidRPr="006246DA">
              <w:rPr>
                <w:sz w:val="18"/>
                <w:szCs w:val="18"/>
              </w:rPr>
              <w:t xml:space="preserve"> 91,270 </w:t>
            </w:r>
          </w:p>
        </w:tc>
      </w:tr>
      <w:tr w:rsidR="006246DA" w:rsidRPr="00724CAE" w14:paraId="426E3DB1" w14:textId="77777777" w:rsidTr="00853B07">
        <w:trPr>
          <w:cantSplit/>
          <w:trHeight w:val="15"/>
        </w:trPr>
        <w:tc>
          <w:tcPr>
            <w:tcW w:w="1560" w:type="dxa"/>
            <w:shd w:val="clear" w:color="auto" w:fill="FFFFFF" w:themeFill="background1"/>
          </w:tcPr>
          <w:p w14:paraId="207C195D" w14:textId="5C3A34DF" w:rsidR="006246DA" w:rsidRPr="006246DA" w:rsidRDefault="006246DA" w:rsidP="006246DA">
            <w:pPr>
              <w:rPr>
                <w:sz w:val="18"/>
                <w:szCs w:val="18"/>
              </w:rPr>
            </w:pPr>
            <w:r w:rsidRPr="006246DA">
              <w:rPr>
                <w:sz w:val="18"/>
                <w:szCs w:val="18"/>
              </w:rPr>
              <w:t>Dividends paid</w:t>
            </w:r>
          </w:p>
        </w:tc>
        <w:tc>
          <w:tcPr>
            <w:tcW w:w="1222" w:type="dxa"/>
            <w:shd w:val="clear" w:color="auto" w:fill="FFFFFF" w:themeFill="background1"/>
          </w:tcPr>
          <w:p w14:paraId="53E5D63B" w14:textId="7BFF23D0" w:rsidR="006246DA" w:rsidRPr="006246DA" w:rsidRDefault="006246DA" w:rsidP="009D2B3D">
            <w:pPr>
              <w:jc w:val="right"/>
              <w:rPr>
                <w:sz w:val="18"/>
                <w:szCs w:val="18"/>
              </w:rPr>
            </w:pPr>
            <w:r w:rsidRPr="006246DA">
              <w:rPr>
                <w:sz w:val="18"/>
                <w:szCs w:val="18"/>
              </w:rPr>
              <w:t xml:space="preserve"> -   </w:t>
            </w:r>
          </w:p>
        </w:tc>
        <w:tc>
          <w:tcPr>
            <w:tcW w:w="1223" w:type="dxa"/>
            <w:shd w:val="clear" w:color="auto" w:fill="FFFFFF" w:themeFill="background1"/>
          </w:tcPr>
          <w:p w14:paraId="33588048" w14:textId="5D14D2B5" w:rsidR="006246DA" w:rsidRPr="006246DA" w:rsidRDefault="006246DA" w:rsidP="009D2B3D">
            <w:pPr>
              <w:jc w:val="right"/>
              <w:rPr>
                <w:sz w:val="18"/>
                <w:szCs w:val="18"/>
              </w:rPr>
            </w:pPr>
            <w:r w:rsidRPr="006246DA">
              <w:rPr>
                <w:sz w:val="18"/>
                <w:szCs w:val="18"/>
              </w:rPr>
              <w:t xml:space="preserve"> -   </w:t>
            </w:r>
          </w:p>
        </w:tc>
        <w:tc>
          <w:tcPr>
            <w:tcW w:w="1222" w:type="dxa"/>
            <w:shd w:val="clear" w:color="auto" w:fill="FFFFFF" w:themeFill="background1"/>
          </w:tcPr>
          <w:p w14:paraId="653E24BE" w14:textId="0D8B6728" w:rsidR="006246DA" w:rsidRPr="006246DA" w:rsidRDefault="006246DA" w:rsidP="009D2B3D">
            <w:pPr>
              <w:jc w:val="right"/>
              <w:rPr>
                <w:sz w:val="18"/>
                <w:szCs w:val="18"/>
              </w:rPr>
            </w:pPr>
            <w:r w:rsidRPr="006246DA">
              <w:rPr>
                <w:sz w:val="18"/>
                <w:szCs w:val="18"/>
              </w:rPr>
              <w:t xml:space="preserve"> -   </w:t>
            </w:r>
          </w:p>
        </w:tc>
        <w:tc>
          <w:tcPr>
            <w:tcW w:w="1223" w:type="dxa"/>
            <w:shd w:val="clear" w:color="auto" w:fill="FFFFFF" w:themeFill="background1"/>
          </w:tcPr>
          <w:p w14:paraId="1C147E05" w14:textId="1EA01472" w:rsidR="006246DA" w:rsidRPr="006246DA" w:rsidRDefault="006246DA" w:rsidP="009D2B3D">
            <w:pPr>
              <w:jc w:val="right"/>
              <w:rPr>
                <w:sz w:val="18"/>
                <w:szCs w:val="18"/>
              </w:rPr>
            </w:pPr>
            <w:r w:rsidRPr="006246DA">
              <w:rPr>
                <w:sz w:val="18"/>
                <w:szCs w:val="18"/>
              </w:rPr>
              <w:t xml:space="preserve"> -   </w:t>
            </w:r>
          </w:p>
        </w:tc>
        <w:tc>
          <w:tcPr>
            <w:tcW w:w="1222" w:type="dxa"/>
            <w:shd w:val="clear" w:color="auto" w:fill="FFFFFF" w:themeFill="background1"/>
          </w:tcPr>
          <w:p w14:paraId="593335FE" w14:textId="09E778B0" w:rsidR="006246DA" w:rsidRPr="006246DA" w:rsidRDefault="006246DA" w:rsidP="009D2B3D">
            <w:pPr>
              <w:jc w:val="right"/>
              <w:rPr>
                <w:sz w:val="18"/>
                <w:szCs w:val="18"/>
              </w:rPr>
            </w:pPr>
            <w:r w:rsidRPr="006246DA">
              <w:rPr>
                <w:sz w:val="18"/>
                <w:szCs w:val="18"/>
              </w:rPr>
              <w:t xml:space="preserve"> -   </w:t>
            </w:r>
          </w:p>
        </w:tc>
        <w:tc>
          <w:tcPr>
            <w:tcW w:w="1223" w:type="dxa"/>
            <w:shd w:val="clear" w:color="auto" w:fill="FFFFFF" w:themeFill="background1"/>
          </w:tcPr>
          <w:p w14:paraId="1CAB499C" w14:textId="7AB1ADEE" w:rsidR="006246DA" w:rsidRPr="006246DA" w:rsidRDefault="006246DA" w:rsidP="009D2B3D">
            <w:pPr>
              <w:jc w:val="right"/>
              <w:rPr>
                <w:sz w:val="18"/>
                <w:szCs w:val="18"/>
              </w:rPr>
            </w:pPr>
            <w:r w:rsidRPr="006246DA">
              <w:rPr>
                <w:sz w:val="18"/>
                <w:szCs w:val="18"/>
              </w:rPr>
              <w:t xml:space="preserve"> -   </w:t>
            </w:r>
          </w:p>
        </w:tc>
        <w:tc>
          <w:tcPr>
            <w:tcW w:w="1222" w:type="dxa"/>
            <w:shd w:val="clear" w:color="auto" w:fill="FFFFFF" w:themeFill="background1"/>
          </w:tcPr>
          <w:p w14:paraId="7233B492" w14:textId="4A949F24" w:rsidR="006246DA" w:rsidRPr="006246DA" w:rsidRDefault="006246DA" w:rsidP="009D2B3D">
            <w:pPr>
              <w:jc w:val="right"/>
              <w:rPr>
                <w:sz w:val="18"/>
                <w:szCs w:val="18"/>
              </w:rPr>
            </w:pPr>
            <w:r w:rsidRPr="006246DA">
              <w:rPr>
                <w:sz w:val="18"/>
                <w:szCs w:val="18"/>
              </w:rPr>
              <w:t xml:space="preserve"> (3,717)</w:t>
            </w:r>
          </w:p>
        </w:tc>
        <w:tc>
          <w:tcPr>
            <w:tcW w:w="1223" w:type="dxa"/>
            <w:shd w:val="clear" w:color="auto" w:fill="FFFFFF" w:themeFill="background1"/>
          </w:tcPr>
          <w:p w14:paraId="44A32925" w14:textId="11432D16" w:rsidR="006246DA" w:rsidRPr="006246DA" w:rsidRDefault="006246DA" w:rsidP="009D2B3D">
            <w:pPr>
              <w:jc w:val="right"/>
              <w:rPr>
                <w:sz w:val="18"/>
                <w:szCs w:val="18"/>
              </w:rPr>
            </w:pPr>
            <w:r w:rsidRPr="006246DA">
              <w:rPr>
                <w:sz w:val="18"/>
                <w:szCs w:val="18"/>
              </w:rPr>
              <w:t xml:space="preserve"> (3,717)</w:t>
            </w:r>
          </w:p>
        </w:tc>
      </w:tr>
      <w:tr w:rsidR="006246DA" w:rsidRPr="00724CAE" w14:paraId="7A2E5951" w14:textId="77777777" w:rsidTr="00853B07">
        <w:trPr>
          <w:cantSplit/>
          <w:trHeight w:val="15"/>
        </w:trPr>
        <w:tc>
          <w:tcPr>
            <w:tcW w:w="1560" w:type="dxa"/>
            <w:shd w:val="clear" w:color="auto" w:fill="FFFFFF" w:themeFill="background1"/>
          </w:tcPr>
          <w:p w14:paraId="1BD20628" w14:textId="71B1435C" w:rsidR="006246DA" w:rsidRPr="006246DA" w:rsidRDefault="006246DA" w:rsidP="006246DA">
            <w:pPr>
              <w:rPr>
                <w:sz w:val="18"/>
                <w:szCs w:val="18"/>
              </w:rPr>
            </w:pPr>
            <w:r w:rsidRPr="006246DA">
              <w:rPr>
                <w:sz w:val="18"/>
                <w:szCs w:val="18"/>
              </w:rPr>
              <w:t>Transfers from/(to) accumulated funds</w:t>
            </w:r>
          </w:p>
        </w:tc>
        <w:tc>
          <w:tcPr>
            <w:tcW w:w="1222" w:type="dxa"/>
            <w:shd w:val="clear" w:color="auto" w:fill="FFFFFF" w:themeFill="background1"/>
          </w:tcPr>
          <w:p w14:paraId="6342DDAF" w14:textId="59256248" w:rsidR="006246DA" w:rsidRPr="006246DA" w:rsidRDefault="006246DA" w:rsidP="009D2B3D">
            <w:pPr>
              <w:jc w:val="right"/>
              <w:rPr>
                <w:sz w:val="18"/>
                <w:szCs w:val="18"/>
              </w:rPr>
            </w:pPr>
            <w:r w:rsidRPr="006246DA">
              <w:rPr>
                <w:sz w:val="18"/>
                <w:szCs w:val="18"/>
              </w:rPr>
              <w:t xml:space="preserve"> 1,060 </w:t>
            </w:r>
          </w:p>
        </w:tc>
        <w:tc>
          <w:tcPr>
            <w:tcW w:w="1223" w:type="dxa"/>
            <w:shd w:val="clear" w:color="auto" w:fill="FFFFFF" w:themeFill="background1"/>
          </w:tcPr>
          <w:p w14:paraId="173F6269" w14:textId="0A385454" w:rsidR="006246DA" w:rsidRPr="006246DA" w:rsidRDefault="006246DA" w:rsidP="009D2B3D">
            <w:pPr>
              <w:jc w:val="right"/>
              <w:rPr>
                <w:sz w:val="18"/>
                <w:szCs w:val="18"/>
              </w:rPr>
            </w:pPr>
            <w:r w:rsidRPr="006246DA">
              <w:rPr>
                <w:sz w:val="18"/>
                <w:szCs w:val="18"/>
              </w:rPr>
              <w:t xml:space="preserve"> (9,971)</w:t>
            </w:r>
          </w:p>
        </w:tc>
        <w:tc>
          <w:tcPr>
            <w:tcW w:w="1222" w:type="dxa"/>
            <w:shd w:val="clear" w:color="auto" w:fill="FFFFFF" w:themeFill="background1"/>
          </w:tcPr>
          <w:p w14:paraId="75AF15D5" w14:textId="2E07CAC5" w:rsidR="006246DA" w:rsidRPr="006246DA" w:rsidRDefault="006246DA" w:rsidP="009D2B3D">
            <w:pPr>
              <w:jc w:val="right"/>
              <w:rPr>
                <w:sz w:val="18"/>
                <w:szCs w:val="18"/>
              </w:rPr>
            </w:pPr>
            <w:r w:rsidRPr="006246DA">
              <w:rPr>
                <w:sz w:val="18"/>
                <w:szCs w:val="18"/>
              </w:rPr>
              <w:t xml:space="preserve"> (9,563)</w:t>
            </w:r>
          </w:p>
        </w:tc>
        <w:tc>
          <w:tcPr>
            <w:tcW w:w="1223" w:type="dxa"/>
            <w:shd w:val="clear" w:color="auto" w:fill="FFFFFF" w:themeFill="background1"/>
          </w:tcPr>
          <w:p w14:paraId="58E5755A" w14:textId="7BFAC081" w:rsidR="006246DA" w:rsidRPr="006246DA" w:rsidRDefault="006246DA" w:rsidP="009D2B3D">
            <w:pPr>
              <w:jc w:val="right"/>
              <w:rPr>
                <w:sz w:val="18"/>
                <w:szCs w:val="18"/>
              </w:rPr>
            </w:pPr>
            <w:r w:rsidRPr="006246DA">
              <w:rPr>
                <w:sz w:val="18"/>
                <w:szCs w:val="18"/>
              </w:rPr>
              <w:t xml:space="preserve"> -   </w:t>
            </w:r>
          </w:p>
        </w:tc>
        <w:tc>
          <w:tcPr>
            <w:tcW w:w="1222" w:type="dxa"/>
            <w:shd w:val="clear" w:color="auto" w:fill="FFFFFF" w:themeFill="background1"/>
          </w:tcPr>
          <w:p w14:paraId="75D3E9F7" w14:textId="5DB80601" w:rsidR="006246DA" w:rsidRPr="006246DA" w:rsidRDefault="006246DA" w:rsidP="009D2B3D">
            <w:pPr>
              <w:jc w:val="right"/>
              <w:rPr>
                <w:sz w:val="18"/>
                <w:szCs w:val="18"/>
              </w:rPr>
            </w:pPr>
            <w:r w:rsidRPr="006246DA">
              <w:rPr>
                <w:sz w:val="18"/>
                <w:szCs w:val="18"/>
              </w:rPr>
              <w:t xml:space="preserve"> 18,474 </w:t>
            </w:r>
          </w:p>
        </w:tc>
        <w:tc>
          <w:tcPr>
            <w:tcW w:w="1223" w:type="dxa"/>
            <w:shd w:val="clear" w:color="auto" w:fill="FFFFFF" w:themeFill="background1"/>
          </w:tcPr>
          <w:p w14:paraId="5DC394A0" w14:textId="77CB38FD" w:rsidR="006246DA" w:rsidRPr="006246DA" w:rsidRDefault="006246DA" w:rsidP="009D2B3D">
            <w:pPr>
              <w:jc w:val="right"/>
              <w:rPr>
                <w:sz w:val="18"/>
                <w:szCs w:val="18"/>
              </w:rPr>
            </w:pPr>
            <w:r w:rsidRPr="006246DA">
              <w:rPr>
                <w:sz w:val="18"/>
                <w:szCs w:val="18"/>
              </w:rPr>
              <w:t xml:space="preserve"> -   </w:t>
            </w:r>
          </w:p>
        </w:tc>
        <w:tc>
          <w:tcPr>
            <w:tcW w:w="1222" w:type="dxa"/>
            <w:shd w:val="clear" w:color="auto" w:fill="FFFFFF" w:themeFill="background1"/>
          </w:tcPr>
          <w:p w14:paraId="3329AD8B" w14:textId="4A563FF0" w:rsidR="006246DA" w:rsidRPr="006246DA" w:rsidRDefault="006246DA" w:rsidP="009D2B3D">
            <w:pPr>
              <w:jc w:val="right"/>
              <w:rPr>
                <w:sz w:val="18"/>
                <w:szCs w:val="18"/>
              </w:rPr>
            </w:pPr>
            <w:r w:rsidRPr="006246DA">
              <w:rPr>
                <w:sz w:val="18"/>
                <w:szCs w:val="18"/>
              </w:rPr>
              <w:t xml:space="preserve"> -   </w:t>
            </w:r>
          </w:p>
        </w:tc>
        <w:tc>
          <w:tcPr>
            <w:tcW w:w="1223" w:type="dxa"/>
            <w:shd w:val="clear" w:color="auto" w:fill="FFFFFF" w:themeFill="background1"/>
          </w:tcPr>
          <w:p w14:paraId="60F38B28" w14:textId="69DFC81B" w:rsidR="006246DA" w:rsidRPr="006246DA" w:rsidRDefault="006246DA" w:rsidP="009D2B3D">
            <w:pPr>
              <w:jc w:val="right"/>
              <w:rPr>
                <w:sz w:val="18"/>
                <w:szCs w:val="18"/>
              </w:rPr>
            </w:pPr>
            <w:r w:rsidRPr="006246DA">
              <w:rPr>
                <w:sz w:val="18"/>
                <w:szCs w:val="18"/>
              </w:rPr>
              <w:t xml:space="preserve"> -   </w:t>
            </w:r>
          </w:p>
        </w:tc>
      </w:tr>
      <w:tr w:rsidR="006246DA" w:rsidRPr="0027245D" w14:paraId="256FB157" w14:textId="77777777" w:rsidTr="00853B07">
        <w:trPr>
          <w:cantSplit/>
          <w:trHeight w:val="15"/>
        </w:trPr>
        <w:tc>
          <w:tcPr>
            <w:tcW w:w="1560" w:type="dxa"/>
            <w:shd w:val="clear" w:color="auto" w:fill="D9D9D9" w:themeFill="background1" w:themeFillShade="D9"/>
          </w:tcPr>
          <w:p w14:paraId="1A41938F" w14:textId="77777777" w:rsidR="006246DA" w:rsidRPr="006246DA" w:rsidRDefault="006246DA" w:rsidP="006246DA">
            <w:pPr>
              <w:rPr>
                <w:b/>
                <w:bCs/>
                <w:sz w:val="18"/>
                <w:szCs w:val="18"/>
              </w:rPr>
            </w:pPr>
            <w:r w:rsidRPr="006246DA">
              <w:rPr>
                <w:b/>
                <w:bCs/>
                <w:sz w:val="18"/>
                <w:szCs w:val="18"/>
              </w:rPr>
              <w:t xml:space="preserve">Balance </w:t>
            </w:r>
            <w:proofErr w:type="gramStart"/>
            <w:r w:rsidRPr="006246DA">
              <w:rPr>
                <w:b/>
                <w:bCs/>
                <w:sz w:val="18"/>
                <w:szCs w:val="18"/>
              </w:rPr>
              <w:t>at</w:t>
            </w:r>
            <w:proofErr w:type="gramEnd"/>
            <w:r w:rsidRPr="006246DA">
              <w:rPr>
                <w:b/>
                <w:bCs/>
                <w:sz w:val="18"/>
                <w:szCs w:val="18"/>
              </w:rPr>
              <w:t xml:space="preserve"> 30 June 2024 Restated</w:t>
            </w:r>
          </w:p>
        </w:tc>
        <w:tc>
          <w:tcPr>
            <w:tcW w:w="1222" w:type="dxa"/>
            <w:shd w:val="clear" w:color="auto" w:fill="D9D9D9" w:themeFill="background1" w:themeFillShade="D9"/>
          </w:tcPr>
          <w:p w14:paraId="60C689C6" w14:textId="0451EC12" w:rsidR="006246DA" w:rsidRPr="006246DA" w:rsidRDefault="006246DA" w:rsidP="009D2B3D">
            <w:pPr>
              <w:jc w:val="right"/>
              <w:rPr>
                <w:b/>
                <w:bCs/>
                <w:sz w:val="18"/>
                <w:szCs w:val="18"/>
              </w:rPr>
            </w:pPr>
            <w:r w:rsidRPr="006246DA">
              <w:rPr>
                <w:b/>
                <w:bCs/>
                <w:sz w:val="18"/>
                <w:szCs w:val="18"/>
              </w:rPr>
              <w:t xml:space="preserve"> 1,881,673 </w:t>
            </w:r>
          </w:p>
        </w:tc>
        <w:tc>
          <w:tcPr>
            <w:tcW w:w="1223" w:type="dxa"/>
            <w:shd w:val="clear" w:color="auto" w:fill="D9D9D9" w:themeFill="background1" w:themeFillShade="D9"/>
          </w:tcPr>
          <w:p w14:paraId="3BA04CF1" w14:textId="2E26904E" w:rsidR="006246DA" w:rsidRPr="006246DA" w:rsidRDefault="006246DA" w:rsidP="009D2B3D">
            <w:pPr>
              <w:jc w:val="right"/>
              <w:rPr>
                <w:b/>
                <w:bCs/>
                <w:sz w:val="18"/>
                <w:szCs w:val="18"/>
              </w:rPr>
            </w:pPr>
            <w:r w:rsidRPr="006246DA">
              <w:rPr>
                <w:b/>
                <w:bCs/>
                <w:sz w:val="18"/>
                <w:szCs w:val="18"/>
              </w:rPr>
              <w:t xml:space="preserve"> 11,029 </w:t>
            </w:r>
          </w:p>
        </w:tc>
        <w:tc>
          <w:tcPr>
            <w:tcW w:w="1222" w:type="dxa"/>
            <w:shd w:val="clear" w:color="auto" w:fill="D9D9D9" w:themeFill="background1" w:themeFillShade="D9"/>
          </w:tcPr>
          <w:p w14:paraId="0FB4957E" w14:textId="3A4D7653" w:rsidR="006246DA" w:rsidRPr="006246DA" w:rsidRDefault="006246DA" w:rsidP="009D2B3D">
            <w:pPr>
              <w:jc w:val="right"/>
              <w:rPr>
                <w:b/>
                <w:bCs/>
                <w:sz w:val="18"/>
                <w:szCs w:val="18"/>
              </w:rPr>
            </w:pPr>
            <w:r w:rsidRPr="006246DA">
              <w:rPr>
                <w:b/>
                <w:bCs/>
                <w:sz w:val="18"/>
                <w:szCs w:val="18"/>
              </w:rPr>
              <w:t xml:space="preserve"> 12,862 </w:t>
            </w:r>
          </w:p>
        </w:tc>
        <w:tc>
          <w:tcPr>
            <w:tcW w:w="1223" w:type="dxa"/>
            <w:shd w:val="clear" w:color="auto" w:fill="D9D9D9" w:themeFill="background1" w:themeFillShade="D9"/>
          </w:tcPr>
          <w:p w14:paraId="1DD7B162" w14:textId="345076A5" w:rsidR="006246DA" w:rsidRPr="006246DA" w:rsidRDefault="006246DA" w:rsidP="009D2B3D">
            <w:pPr>
              <w:jc w:val="right"/>
              <w:rPr>
                <w:b/>
                <w:bCs/>
                <w:sz w:val="18"/>
                <w:szCs w:val="18"/>
              </w:rPr>
            </w:pPr>
            <w:r w:rsidRPr="006246DA">
              <w:rPr>
                <w:b/>
                <w:bCs/>
                <w:sz w:val="18"/>
                <w:szCs w:val="18"/>
              </w:rPr>
              <w:t xml:space="preserve"> 411 </w:t>
            </w:r>
          </w:p>
        </w:tc>
        <w:tc>
          <w:tcPr>
            <w:tcW w:w="1222" w:type="dxa"/>
            <w:shd w:val="clear" w:color="auto" w:fill="D9D9D9" w:themeFill="background1" w:themeFillShade="D9"/>
          </w:tcPr>
          <w:p w14:paraId="76BCAF53" w14:textId="102FF45B" w:rsidR="006246DA" w:rsidRPr="006246DA" w:rsidRDefault="006246DA" w:rsidP="009D2B3D">
            <w:pPr>
              <w:jc w:val="right"/>
              <w:rPr>
                <w:b/>
                <w:bCs/>
                <w:sz w:val="18"/>
                <w:szCs w:val="18"/>
              </w:rPr>
            </w:pPr>
            <w:r w:rsidRPr="006246DA">
              <w:rPr>
                <w:b/>
                <w:bCs/>
                <w:sz w:val="18"/>
                <w:szCs w:val="18"/>
              </w:rPr>
              <w:t xml:space="preserve"> 959,456 </w:t>
            </w:r>
          </w:p>
        </w:tc>
        <w:tc>
          <w:tcPr>
            <w:tcW w:w="1223" w:type="dxa"/>
            <w:shd w:val="clear" w:color="auto" w:fill="D9D9D9" w:themeFill="background1" w:themeFillShade="D9"/>
          </w:tcPr>
          <w:p w14:paraId="3F9F023B" w14:textId="083AE92C" w:rsidR="006246DA" w:rsidRPr="006246DA" w:rsidRDefault="006246DA" w:rsidP="009D2B3D">
            <w:pPr>
              <w:jc w:val="right"/>
              <w:rPr>
                <w:b/>
                <w:bCs/>
                <w:sz w:val="18"/>
                <w:szCs w:val="18"/>
              </w:rPr>
            </w:pPr>
            <w:r w:rsidRPr="006246DA">
              <w:rPr>
                <w:b/>
                <w:bCs/>
                <w:sz w:val="18"/>
                <w:szCs w:val="18"/>
              </w:rPr>
              <w:t xml:space="preserve"> 2,865,431 </w:t>
            </w:r>
          </w:p>
        </w:tc>
        <w:tc>
          <w:tcPr>
            <w:tcW w:w="1222" w:type="dxa"/>
            <w:shd w:val="clear" w:color="auto" w:fill="D9D9D9" w:themeFill="background1" w:themeFillShade="D9"/>
          </w:tcPr>
          <w:p w14:paraId="52256DAB" w14:textId="1C882E03" w:rsidR="006246DA" w:rsidRPr="006246DA" w:rsidRDefault="006246DA" w:rsidP="009D2B3D">
            <w:pPr>
              <w:jc w:val="right"/>
              <w:rPr>
                <w:b/>
                <w:bCs/>
                <w:sz w:val="18"/>
                <w:szCs w:val="18"/>
              </w:rPr>
            </w:pPr>
            <w:r w:rsidRPr="006246DA">
              <w:rPr>
                <w:b/>
                <w:bCs/>
                <w:sz w:val="18"/>
                <w:szCs w:val="18"/>
              </w:rPr>
              <w:t xml:space="preserve"> 112,514 </w:t>
            </w:r>
          </w:p>
        </w:tc>
        <w:tc>
          <w:tcPr>
            <w:tcW w:w="1223" w:type="dxa"/>
            <w:shd w:val="clear" w:color="auto" w:fill="D9D9D9" w:themeFill="background1" w:themeFillShade="D9"/>
          </w:tcPr>
          <w:p w14:paraId="00ED29F8" w14:textId="2732C40C" w:rsidR="006246DA" w:rsidRPr="006246DA" w:rsidRDefault="006246DA" w:rsidP="009D2B3D">
            <w:pPr>
              <w:jc w:val="right"/>
              <w:rPr>
                <w:b/>
                <w:bCs/>
                <w:sz w:val="18"/>
                <w:szCs w:val="18"/>
              </w:rPr>
            </w:pPr>
            <w:r w:rsidRPr="006246DA">
              <w:rPr>
                <w:b/>
                <w:bCs/>
                <w:sz w:val="18"/>
                <w:szCs w:val="18"/>
              </w:rPr>
              <w:t xml:space="preserve"> 2,977,945 </w:t>
            </w:r>
          </w:p>
        </w:tc>
      </w:tr>
    </w:tbl>
    <w:p w14:paraId="2BFD5A13" w14:textId="77777777" w:rsidR="009D2B3D" w:rsidRPr="009D2B3D" w:rsidRDefault="009D2B3D" w:rsidP="009D2B3D">
      <w:pPr>
        <w:rPr>
          <w:color w:val="000000" w:themeColor="text1"/>
          <w:sz w:val="18"/>
          <w:szCs w:val="18"/>
          <w:lang w:val="en-GB"/>
        </w:rPr>
      </w:pPr>
      <w:r w:rsidRPr="009D2B3D">
        <w:rPr>
          <w:color w:val="000000" w:themeColor="text1"/>
          <w:sz w:val="18"/>
          <w:szCs w:val="18"/>
          <w:lang w:val="en-GB"/>
        </w:rPr>
        <w:t>(</w:t>
      </w:r>
      <w:proofErr w:type="spellStart"/>
      <w:r w:rsidRPr="009D2B3D">
        <w:rPr>
          <w:color w:val="000000" w:themeColor="text1"/>
          <w:sz w:val="18"/>
          <w:szCs w:val="18"/>
          <w:lang w:val="en-GB"/>
        </w:rPr>
        <w:t>i</w:t>
      </w:r>
      <w:proofErr w:type="spellEnd"/>
      <w:r w:rsidRPr="009D2B3D">
        <w:rPr>
          <w:color w:val="000000" w:themeColor="text1"/>
          <w:sz w:val="18"/>
          <w:szCs w:val="18"/>
          <w:lang w:val="en-GB"/>
        </w:rPr>
        <w:t xml:space="preserve">) Refer to the notes to the summary financial statements on page </w:t>
      </w:r>
      <w:r w:rsidRPr="009D2B3D">
        <w:rPr>
          <w:color w:val="000000" w:themeColor="text1"/>
          <w:sz w:val="18"/>
          <w:szCs w:val="18"/>
          <w:lang w:val="en-GB"/>
        </w:rPr>
        <w:fldChar w:fldCharType="begin"/>
      </w:r>
      <w:r w:rsidRPr="009D2B3D">
        <w:rPr>
          <w:color w:val="000000" w:themeColor="text1"/>
          <w:sz w:val="18"/>
          <w:szCs w:val="18"/>
          <w:lang w:val="en-GB"/>
        </w:rPr>
        <w:instrText xml:space="preserve"> PAGEREF _Ref211422053 \h </w:instrText>
      </w:r>
      <w:r w:rsidRPr="009D2B3D">
        <w:rPr>
          <w:color w:val="000000" w:themeColor="text1"/>
          <w:sz w:val="18"/>
          <w:szCs w:val="18"/>
          <w:lang w:val="en-GB"/>
        </w:rPr>
      </w:r>
      <w:r w:rsidRPr="009D2B3D">
        <w:rPr>
          <w:color w:val="000000" w:themeColor="text1"/>
          <w:sz w:val="18"/>
          <w:szCs w:val="18"/>
          <w:lang w:val="en-GB"/>
        </w:rPr>
        <w:fldChar w:fldCharType="separate"/>
      </w:r>
      <w:r w:rsidRPr="009D2B3D">
        <w:rPr>
          <w:noProof/>
          <w:color w:val="000000" w:themeColor="text1"/>
          <w:sz w:val="18"/>
          <w:szCs w:val="18"/>
          <w:lang w:val="en-GB"/>
        </w:rPr>
        <w:t>58</w:t>
      </w:r>
      <w:r w:rsidRPr="009D2B3D">
        <w:rPr>
          <w:color w:val="000000" w:themeColor="text1"/>
          <w:sz w:val="18"/>
          <w:szCs w:val="18"/>
          <w:lang w:val="en-GB"/>
        </w:rPr>
        <w:fldChar w:fldCharType="end"/>
      </w:r>
      <w:r w:rsidRPr="009D2B3D">
        <w:rPr>
          <w:color w:val="000000" w:themeColor="text1"/>
          <w:sz w:val="18"/>
          <w:szCs w:val="18"/>
          <w:lang w:val="en-GB"/>
        </w:rPr>
        <w:t>.</w:t>
      </w:r>
    </w:p>
    <w:p w14:paraId="26C647BF" w14:textId="5C4A7D28" w:rsidR="00781B9E" w:rsidRDefault="00781B9E" w:rsidP="00781B9E">
      <w:pPr>
        <w:pStyle w:val="Heading2"/>
        <w:rPr>
          <w:lang w:val="en-GB"/>
        </w:rPr>
      </w:pPr>
      <w:r>
        <w:rPr>
          <w:sz w:val="18"/>
          <w:szCs w:val="18"/>
          <w:lang w:val="en-GB"/>
        </w:rPr>
        <w:br w:type="page"/>
      </w:r>
      <w:bookmarkStart w:id="60" w:name="_Toc211422672"/>
      <w:r w:rsidRPr="00781B9E">
        <w:rPr>
          <w:lang w:val="en-GB"/>
        </w:rPr>
        <w:t>Summary Statement of Cash Flows</w:t>
      </w:r>
      <w:bookmarkEnd w:id="60"/>
    </w:p>
    <w:tbl>
      <w:tblPr>
        <w:tblStyle w:val="TableGrid"/>
        <w:tblW w:w="9252" w:type="dxa"/>
        <w:tblLayout w:type="fixed"/>
        <w:tblCellMar>
          <w:top w:w="115" w:type="dxa"/>
          <w:bottom w:w="115" w:type="dxa"/>
        </w:tblCellMar>
        <w:tblLook w:val="04A0" w:firstRow="1" w:lastRow="0" w:firstColumn="1" w:lastColumn="0" w:noHBand="0" w:noVBand="1"/>
      </w:tblPr>
      <w:tblGrid>
        <w:gridCol w:w="3964"/>
        <w:gridCol w:w="1057"/>
        <w:gridCol w:w="1058"/>
        <w:gridCol w:w="1057"/>
        <w:gridCol w:w="1058"/>
        <w:gridCol w:w="1058"/>
      </w:tblGrid>
      <w:tr w:rsidR="00781B9E" w:rsidRPr="009F247D" w14:paraId="61A09C00" w14:textId="77777777" w:rsidTr="00853B07">
        <w:trPr>
          <w:cantSplit/>
        </w:trPr>
        <w:tc>
          <w:tcPr>
            <w:tcW w:w="3964" w:type="dxa"/>
            <w:shd w:val="clear" w:color="auto" w:fill="BFBFBF" w:themeFill="background1" w:themeFillShade="BF"/>
          </w:tcPr>
          <w:p w14:paraId="52893CE7" w14:textId="51DB8F23" w:rsidR="00781B9E" w:rsidRPr="009D2B3D" w:rsidRDefault="00781B9E" w:rsidP="00853B07">
            <w:pPr>
              <w:rPr>
                <w:b/>
                <w:bCs/>
                <w:sz w:val="18"/>
                <w:szCs w:val="18"/>
                <w:lang w:val="en-US"/>
              </w:rPr>
            </w:pPr>
            <w:r w:rsidRPr="009D2B3D">
              <w:rPr>
                <w:b/>
                <w:bCs/>
                <w:sz w:val="18"/>
                <w:szCs w:val="18"/>
                <w:lang w:val="en-US"/>
              </w:rPr>
              <w:t>For the financial year ended 30 June 2025</w:t>
            </w:r>
          </w:p>
        </w:tc>
        <w:tc>
          <w:tcPr>
            <w:tcW w:w="1057" w:type="dxa"/>
            <w:shd w:val="clear" w:color="auto" w:fill="BFBFBF" w:themeFill="background1" w:themeFillShade="BF"/>
          </w:tcPr>
          <w:p w14:paraId="75F24780" w14:textId="77777777" w:rsidR="00781B9E" w:rsidRPr="009D2B3D" w:rsidRDefault="00781B9E" w:rsidP="00853B07">
            <w:pPr>
              <w:rPr>
                <w:b/>
                <w:bCs/>
                <w:sz w:val="18"/>
                <w:szCs w:val="18"/>
                <w:lang w:val="en-US"/>
              </w:rPr>
            </w:pPr>
            <w:r w:rsidRPr="009D2B3D">
              <w:rPr>
                <w:b/>
                <w:bCs/>
                <w:sz w:val="18"/>
                <w:szCs w:val="18"/>
                <w:lang w:val="en-US"/>
              </w:rPr>
              <w:t>Council</w:t>
            </w:r>
          </w:p>
          <w:p w14:paraId="6AADF4AE" w14:textId="2F5AB6D6" w:rsidR="00781B9E" w:rsidRPr="009D2B3D" w:rsidRDefault="00781B9E" w:rsidP="00853B07">
            <w:pPr>
              <w:rPr>
                <w:b/>
                <w:bCs/>
                <w:sz w:val="18"/>
                <w:szCs w:val="18"/>
                <w:lang w:val="en-US"/>
              </w:rPr>
            </w:pPr>
            <w:r w:rsidRPr="009D2B3D">
              <w:rPr>
                <w:b/>
                <w:bCs/>
                <w:sz w:val="18"/>
                <w:szCs w:val="18"/>
                <w:lang w:val="en-US"/>
              </w:rPr>
              <w:t>202</w:t>
            </w:r>
            <w:r w:rsidRPr="009D2B3D">
              <w:rPr>
                <w:b/>
                <w:bCs/>
                <w:sz w:val="18"/>
                <w:szCs w:val="18"/>
                <w:lang w:val="en-US"/>
              </w:rPr>
              <w:t>5</w:t>
            </w:r>
          </w:p>
          <w:p w14:paraId="2E90A8BB" w14:textId="77777777" w:rsidR="00781B9E" w:rsidRPr="009D2B3D" w:rsidRDefault="00781B9E" w:rsidP="00853B07">
            <w:pPr>
              <w:rPr>
                <w:b/>
                <w:bCs/>
                <w:sz w:val="18"/>
                <w:szCs w:val="18"/>
                <w:lang w:val="en-US"/>
              </w:rPr>
            </w:pPr>
            <w:r w:rsidRPr="009D2B3D">
              <w:rPr>
                <w:b/>
                <w:bCs/>
                <w:sz w:val="18"/>
                <w:szCs w:val="18"/>
                <w:lang w:val="en-US"/>
              </w:rPr>
              <w:t>$’000</w:t>
            </w:r>
          </w:p>
        </w:tc>
        <w:tc>
          <w:tcPr>
            <w:tcW w:w="1058" w:type="dxa"/>
            <w:shd w:val="clear" w:color="auto" w:fill="BFBFBF" w:themeFill="background1" w:themeFillShade="BF"/>
          </w:tcPr>
          <w:p w14:paraId="7EA5C886" w14:textId="77777777" w:rsidR="00781B9E" w:rsidRPr="009D2B3D" w:rsidRDefault="00781B9E" w:rsidP="00853B07">
            <w:pPr>
              <w:rPr>
                <w:b/>
                <w:bCs/>
                <w:sz w:val="18"/>
                <w:szCs w:val="18"/>
                <w:lang w:val="en-US"/>
              </w:rPr>
            </w:pPr>
            <w:r w:rsidRPr="009D2B3D">
              <w:rPr>
                <w:b/>
                <w:bCs/>
                <w:sz w:val="18"/>
                <w:szCs w:val="18"/>
                <w:lang w:val="en-US"/>
              </w:rPr>
              <w:t>Council</w:t>
            </w:r>
          </w:p>
          <w:p w14:paraId="390ABE88" w14:textId="77777777" w:rsidR="00781B9E" w:rsidRPr="009D2B3D" w:rsidRDefault="00781B9E" w:rsidP="00853B07">
            <w:pPr>
              <w:rPr>
                <w:b/>
                <w:bCs/>
                <w:sz w:val="18"/>
                <w:szCs w:val="18"/>
                <w:lang w:val="en-US"/>
              </w:rPr>
            </w:pPr>
            <w:r w:rsidRPr="009D2B3D">
              <w:rPr>
                <w:b/>
                <w:bCs/>
                <w:sz w:val="18"/>
                <w:szCs w:val="18"/>
                <w:lang w:val="en-US"/>
              </w:rPr>
              <w:t>Budget</w:t>
            </w:r>
          </w:p>
          <w:p w14:paraId="6C3C3900" w14:textId="77777777" w:rsidR="00781B9E" w:rsidRPr="009D2B3D" w:rsidRDefault="00781B9E" w:rsidP="00853B07">
            <w:pPr>
              <w:rPr>
                <w:b/>
                <w:bCs/>
                <w:sz w:val="18"/>
                <w:szCs w:val="18"/>
                <w:lang w:val="en-US"/>
              </w:rPr>
            </w:pPr>
            <w:r w:rsidRPr="009D2B3D">
              <w:rPr>
                <w:b/>
                <w:bCs/>
                <w:sz w:val="18"/>
                <w:szCs w:val="18"/>
                <w:lang w:val="en-US"/>
              </w:rPr>
              <w:t>$’000</w:t>
            </w:r>
          </w:p>
        </w:tc>
        <w:tc>
          <w:tcPr>
            <w:tcW w:w="1057" w:type="dxa"/>
            <w:shd w:val="clear" w:color="auto" w:fill="BFBFBF" w:themeFill="background1" w:themeFillShade="BF"/>
          </w:tcPr>
          <w:p w14:paraId="5D63ADC8" w14:textId="77777777" w:rsidR="00781B9E" w:rsidRPr="009D2B3D" w:rsidRDefault="00781B9E" w:rsidP="00853B07">
            <w:pPr>
              <w:rPr>
                <w:b/>
                <w:bCs/>
                <w:sz w:val="18"/>
                <w:szCs w:val="18"/>
                <w:lang w:val="en-US"/>
              </w:rPr>
            </w:pPr>
            <w:r w:rsidRPr="009D2B3D">
              <w:rPr>
                <w:b/>
                <w:bCs/>
                <w:sz w:val="18"/>
                <w:szCs w:val="18"/>
                <w:lang w:val="en-US"/>
              </w:rPr>
              <w:t>Council</w:t>
            </w:r>
          </w:p>
          <w:p w14:paraId="540ECA5D" w14:textId="14D3B77A" w:rsidR="00781B9E" w:rsidRPr="009D2B3D" w:rsidRDefault="00781B9E" w:rsidP="00853B07">
            <w:pPr>
              <w:rPr>
                <w:b/>
                <w:bCs/>
                <w:sz w:val="18"/>
                <w:szCs w:val="18"/>
                <w:lang w:val="en-US"/>
              </w:rPr>
            </w:pPr>
            <w:r w:rsidRPr="009D2B3D">
              <w:rPr>
                <w:b/>
                <w:bCs/>
                <w:sz w:val="18"/>
                <w:szCs w:val="18"/>
                <w:lang w:val="en-US"/>
              </w:rPr>
              <w:t>202</w:t>
            </w:r>
            <w:r w:rsidRPr="009D2B3D">
              <w:rPr>
                <w:b/>
                <w:bCs/>
                <w:sz w:val="18"/>
                <w:szCs w:val="18"/>
                <w:lang w:val="en-US"/>
              </w:rPr>
              <w:t>4</w:t>
            </w:r>
          </w:p>
          <w:p w14:paraId="56764386" w14:textId="77777777" w:rsidR="00781B9E" w:rsidRPr="009D2B3D" w:rsidRDefault="00781B9E" w:rsidP="00853B07">
            <w:pPr>
              <w:rPr>
                <w:b/>
                <w:bCs/>
                <w:sz w:val="18"/>
                <w:szCs w:val="18"/>
                <w:lang w:val="en-US"/>
              </w:rPr>
            </w:pPr>
            <w:r w:rsidRPr="009D2B3D">
              <w:rPr>
                <w:b/>
                <w:bCs/>
                <w:sz w:val="18"/>
                <w:szCs w:val="18"/>
                <w:lang w:val="en-US"/>
              </w:rPr>
              <w:t>$’000</w:t>
            </w:r>
          </w:p>
        </w:tc>
        <w:tc>
          <w:tcPr>
            <w:tcW w:w="1058" w:type="dxa"/>
            <w:shd w:val="clear" w:color="auto" w:fill="BFBFBF" w:themeFill="background1" w:themeFillShade="BF"/>
          </w:tcPr>
          <w:p w14:paraId="1209618C" w14:textId="77777777" w:rsidR="00781B9E" w:rsidRPr="009D2B3D" w:rsidRDefault="00781B9E" w:rsidP="00853B07">
            <w:pPr>
              <w:rPr>
                <w:b/>
                <w:bCs/>
                <w:sz w:val="18"/>
                <w:szCs w:val="18"/>
                <w:lang w:val="en-US"/>
              </w:rPr>
            </w:pPr>
            <w:r w:rsidRPr="009D2B3D">
              <w:rPr>
                <w:b/>
                <w:bCs/>
                <w:sz w:val="18"/>
                <w:szCs w:val="18"/>
                <w:lang w:val="en-US"/>
              </w:rPr>
              <w:t>Group</w:t>
            </w:r>
          </w:p>
          <w:p w14:paraId="0CEFE0A0" w14:textId="42FB1FA4" w:rsidR="00781B9E" w:rsidRPr="009D2B3D" w:rsidRDefault="00781B9E" w:rsidP="00853B07">
            <w:pPr>
              <w:rPr>
                <w:b/>
                <w:bCs/>
                <w:sz w:val="18"/>
                <w:szCs w:val="18"/>
                <w:lang w:val="en-US"/>
              </w:rPr>
            </w:pPr>
            <w:r w:rsidRPr="009D2B3D">
              <w:rPr>
                <w:b/>
                <w:bCs/>
                <w:sz w:val="18"/>
                <w:szCs w:val="18"/>
                <w:lang w:val="en-US"/>
              </w:rPr>
              <w:t>202</w:t>
            </w:r>
            <w:r w:rsidRPr="009D2B3D">
              <w:rPr>
                <w:b/>
                <w:bCs/>
                <w:sz w:val="18"/>
                <w:szCs w:val="18"/>
                <w:lang w:val="en-US"/>
              </w:rPr>
              <w:t>5</w:t>
            </w:r>
          </w:p>
          <w:p w14:paraId="69890668" w14:textId="77777777" w:rsidR="00781B9E" w:rsidRPr="009D2B3D" w:rsidRDefault="00781B9E" w:rsidP="00853B07">
            <w:pPr>
              <w:rPr>
                <w:b/>
                <w:bCs/>
                <w:sz w:val="18"/>
                <w:szCs w:val="18"/>
                <w:lang w:val="en-US"/>
              </w:rPr>
            </w:pPr>
            <w:r w:rsidRPr="009D2B3D">
              <w:rPr>
                <w:b/>
                <w:bCs/>
                <w:sz w:val="18"/>
                <w:szCs w:val="18"/>
                <w:lang w:val="en-US"/>
              </w:rPr>
              <w:t>$’000</w:t>
            </w:r>
          </w:p>
        </w:tc>
        <w:tc>
          <w:tcPr>
            <w:tcW w:w="1058" w:type="dxa"/>
            <w:shd w:val="clear" w:color="auto" w:fill="BFBFBF" w:themeFill="background1" w:themeFillShade="BF"/>
          </w:tcPr>
          <w:p w14:paraId="48C7AB08" w14:textId="77777777" w:rsidR="00781B9E" w:rsidRPr="009D2B3D" w:rsidRDefault="00781B9E" w:rsidP="00853B07">
            <w:pPr>
              <w:rPr>
                <w:b/>
                <w:bCs/>
                <w:sz w:val="18"/>
                <w:szCs w:val="18"/>
                <w:lang w:val="en-US"/>
              </w:rPr>
            </w:pPr>
            <w:r w:rsidRPr="009D2B3D">
              <w:rPr>
                <w:b/>
                <w:bCs/>
                <w:sz w:val="18"/>
                <w:szCs w:val="18"/>
                <w:lang w:val="en-US"/>
              </w:rPr>
              <w:t>Group</w:t>
            </w:r>
          </w:p>
          <w:p w14:paraId="2EF93749" w14:textId="21CFA31E" w:rsidR="00781B9E" w:rsidRPr="009D2B3D" w:rsidRDefault="00781B9E" w:rsidP="00853B07">
            <w:pPr>
              <w:rPr>
                <w:b/>
                <w:bCs/>
                <w:sz w:val="18"/>
                <w:szCs w:val="18"/>
                <w:lang w:val="en-US"/>
              </w:rPr>
            </w:pPr>
            <w:r w:rsidRPr="009D2B3D">
              <w:rPr>
                <w:b/>
                <w:bCs/>
                <w:sz w:val="18"/>
                <w:szCs w:val="18"/>
                <w:lang w:val="en-US"/>
              </w:rPr>
              <w:t>202</w:t>
            </w:r>
            <w:r w:rsidRPr="009D2B3D">
              <w:rPr>
                <w:b/>
                <w:bCs/>
                <w:sz w:val="18"/>
                <w:szCs w:val="18"/>
                <w:lang w:val="en-US"/>
              </w:rPr>
              <w:t>4</w:t>
            </w:r>
          </w:p>
          <w:p w14:paraId="29CABC25" w14:textId="77777777" w:rsidR="00781B9E" w:rsidRPr="009D2B3D" w:rsidRDefault="00781B9E" w:rsidP="00853B07">
            <w:pPr>
              <w:rPr>
                <w:b/>
                <w:bCs/>
                <w:sz w:val="18"/>
                <w:szCs w:val="18"/>
                <w:lang w:val="en-US"/>
              </w:rPr>
            </w:pPr>
            <w:r w:rsidRPr="009D2B3D">
              <w:rPr>
                <w:b/>
                <w:bCs/>
                <w:sz w:val="18"/>
                <w:szCs w:val="18"/>
                <w:lang w:val="en-US"/>
              </w:rPr>
              <w:t>$’000</w:t>
            </w:r>
          </w:p>
        </w:tc>
      </w:tr>
      <w:tr w:rsidR="009D2B3D" w:rsidRPr="009F11DE" w14:paraId="59701A26" w14:textId="77777777" w:rsidTr="00853B07">
        <w:trPr>
          <w:cantSplit/>
          <w:trHeight w:val="15"/>
        </w:trPr>
        <w:tc>
          <w:tcPr>
            <w:tcW w:w="3964" w:type="dxa"/>
            <w:shd w:val="clear" w:color="auto" w:fill="FFFFFF" w:themeFill="background1"/>
          </w:tcPr>
          <w:p w14:paraId="698D8D8E" w14:textId="77777777" w:rsidR="009D2B3D" w:rsidRPr="009D2B3D" w:rsidRDefault="009D2B3D" w:rsidP="009D2B3D">
            <w:pPr>
              <w:rPr>
                <w:sz w:val="18"/>
                <w:szCs w:val="18"/>
              </w:rPr>
            </w:pPr>
            <w:r w:rsidRPr="009D2B3D">
              <w:rPr>
                <w:sz w:val="18"/>
                <w:szCs w:val="18"/>
              </w:rPr>
              <w:t>Net cash inflow/(outflow) from operating activities</w:t>
            </w:r>
          </w:p>
        </w:tc>
        <w:tc>
          <w:tcPr>
            <w:tcW w:w="1057" w:type="dxa"/>
            <w:shd w:val="clear" w:color="auto" w:fill="FFFFFF" w:themeFill="background1"/>
          </w:tcPr>
          <w:p w14:paraId="767C6D74" w14:textId="6DC3E9F4" w:rsidR="009D2B3D" w:rsidRPr="009D2B3D" w:rsidRDefault="009D2B3D" w:rsidP="009D2B3D">
            <w:pPr>
              <w:jc w:val="right"/>
              <w:rPr>
                <w:sz w:val="18"/>
                <w:szCs w:val="18"/>
              </w:rPr>
            </w:pPr>
            <w:r w:rsidRPr="009D2B3D">
              <w:rPr>
                <w:sz w:val="18"/>
                <w:szCs w:val="18"/>
              </w:rPr>
              <w:t xml:space="preserve"> 69,644 </w:t>
            </w:r>
          </w:p>
        </w:tc>
        <w:tc>
          <w:tcPr>
            <w:tcW w:w="1058" w:type="dxa"/>
            <w:shd w:val="clear" w:color="auto" w:fill="FFFFFF" w:themeFill="background1"/>
          </w:tcPr>
          <w:p w14:paraId="1E7FF86C" w14:textId="7D93F199" w:rsidR="009D2B3D" w:rsidRPr="009D2B3D" w:rsidRDefault="009D2B3D" w:rsidP="009D2B3D">
            <w:pPr>
              <w:jc w:val="right"/>
              <w:rPr>
                <w:sz w:val="18"/>
                <w:szCs w:val="18"/>
              </w:rPr>
            </w:pPr>
            <w:r w:rsidRPr="009D2B3D">
              <w:rPr>
                <w:sz w:val="18"/>
                <w:szCs w:val="18"/>
              </w:rPr>
              <w:t xml:space="preserve"> 104,469 </w:t>
            </w:r>
          </w:p>
        </w:tc>
        <w:tc>
          <w:tcPr>
            <w:tcW w:w="1057" w:type="dxa"/>
            <w:shd w:val="clear" w:color="auto" w:fill="FFFFFF" w:themeFill="background1"/>
          </w:tcPr>
          <w:p w14:paraId="2E6A15B0" w14:textId="6D336612" w:rsidR="009D2B3D" w:rsidRPr="009D2B3D" w:rsidRDefault="009D2B3D" w:rsidP="009D2B3D">
            <w:pPr>
              <w:jc w:val="right"/>
              <w:rPr>
                <w:sz w:val="18"/>
                <w:szCs w:val="18"/>
              </w:rPr>
            </w:pPr>
            <w:r w:rsidRPr="009D2B3D">
              <w:rPr>
                <w:sz w:val="18"/>
                <w:szCs w:val="18"/>
              </w:rPr>
              <w:t xml:space="preserve"> 57,815 </w:t>
            </w:r>
          </w:p>
        </w:tc>
        <w:tc>
          <w:tcPr>
            <w:tcW w:w="1058" w:type="dxa"/>
            <w:shd w:val="clear" w:color="auto" w:fill="FFFFFF" w:themeFill="background1"/>
          </w:tcPr>
          <w:p w14:paraId="36CEBB3C" w14:textId="0E28A864" w:rsidR="009D2B3D" w:rsidRPr="009D2B3D" w:rsidRDefault="009D2B3D" w:rsidP="009D2B3D">
            <w:pPr>
              <w:jc w:val="right"/>
              <w:rPr>
                <w:sz w:val="18"/>
                <w:szCs w:val="18"/>
              </w:rPr>
            </w:pPr>
            <w:r w:rsidRPr="009D2B3D">
              <w:rPr>
                <w:sz w:val="18"/>
                <w:szCs w:val="18"/>
              </w:rPr>
              <w:t xml:space="preserve"> 90,087 </w:t>
            </w:r>
          </w:p>
        </w:tc>
        <w:tc>
          <w:tcPr>
            <w:tcW w:w="1058" w:type="dxa"/>
            <w:shd w:val="clear" w:color="auto" w:fill="FFFFFF" w:themeFill="background1"/>
          </w:tcPr>
          <w:p w14:paraId="33F1AC69" w14:textId="0BF136F3" w:rsidR="009D2B3D" w:rsidRPr="009D2B3D" w:rsidRDefault="009D2B3D" w:rsidP="009D2B3D">
            <w:pPr>
              <w:jc w:val="right"/>
              <w:rPr>
                <w:sz w:val="18"/>
                <w:szCs w:val="18"/>
              </w:rPr>
            </w:pPr>
            <w:r w:rsidRPr="009D2B3D">
              <w:rPr>
                <w:sz w:val="18"/>
                <w:szCs w:val="18"/>
              </w:rPr>
              <w:t xml:space="preserve"> 85,652 </w:t>
            </w:r>
          </w:p>
        </w:tc>
      </w:tr>
      <w:tr w:rsidR="009D2B3D" w:rsidRPr="009F11DE" w14:paraId="155DEB92" w14:textId="77777777" w:rsidTr="00853B07">
        <w:trPr>
          <w:cantSplit/>
          <w:trHeight w:val="15"/>
        </w:trPr>
        <w:tc>
          <w:tcPr>
            <w:tcW w:w="3964" w:type="dxa"/>
            <w:shd w:val="clear" w:color="auto" w:fill="FFFFFF" w:themeFill="background1"/>
          </w:tcPr>
          <w:p w14:paraId="3CA8141F" w14:textId="77777777" w:rsidR="009D2B3D" w:rsidRPr="009D2B3D" w:rsidRDefault="009D2B3D" w:rsidP="009D2B3D">
            <w:pPr>
              <w:rPr>
                <w:sz w:val="18"/>
                <w:szCs w:val="18"/>
              </w:rPr>
            </w:pPr>
            <w:r w:rsidRPr="009D2B3D">
              <w:rPr>
                <w:sz w:val="18"/>
                <w:szCs w:val="18"/>
              </w:rPr>
              <w:t>Net cash inflow/(outflow) from investing activities</w:t>
            </w:r>
          </w:p>
        </w:tc>
        <w:tc>
          <w:tcPr>
            <w:tcW w:w="1057" w:type="dxa"/>
            <w:shd w:val="clear" w:color="auto" w:fill="FFFFFF" w:themeFill="background1"/>
          </w:tcPr>
          <w:p w14:paraId="1718CDD1" w14:textId="050992DE" w:rsidR="009D2B3D" w:rsidRPr="009D2B3D" w:rsidRDefault="009D2B3D" w:rsidP="009D2B3D">
            <w:pPr>
              <w:jc w:val="right"/>
              <w:rPr>
                <w:sz w:val="18"/>
                <w:szCs w:val="18"/>
              </w:rPr>
            </w:pPr>
            <w:r w:rsidRPr="009D2B3D">
              <w:rPr>
                <w:sz w:val="18"/>
                <w:szCs w:val="18"/>
              </w:rPr>
              <w:t>(131,232)</w:t>
            </w:r>
          </w:p>
        </w:tc>
        <w:tc>
          <w:tcPr>
            <w:tcW w:w="1058" w:type="dxa"/>
            <w:shd w:val="clear" w:color="auto" w:fill="FFFFFF" w:themeFill="background1"/>
          </w:tcPr>
          <w:p w14:paraId="2D9C9BA0" w14:textId="4118F4D7" w:rsidR="009D2B3D" w:rsidRPr="009D2B3D" w:rsidRDefault="009D2B3D" w:rsidP="009D2B3D">
            <w:pPr>
              <w:jc w:val="right"/>
              <w:rPr>
                <w:sz w:val="18"/>
                <w:szCs w:val="18"/>
              </w:rPr>
            </w:pPr>
            <w:r w:rsidRPr="009D2B3D">
              <w:rPr>
                <w:sz w:val="18"/>
                <w:szCs w:val="18"/>
              </w:rPr>
              <w:t>(146,736)</w:t>
            </w:r>
          </w:p>
        </w:tc>
        <w:tc>
          <w:tcPr>
            <w:tcW w:w="1057" w:type="dxa"/>
            <w:shd w:val="clear" w:color="auto" w:fill="FFFFFF" w:themeFill="background1"/>
          </w:tcPr>
          <w:p w14:paraId="6C0B14A6" w14:textId="3F843A14" w:rsidR="009D2B3D" w:rsidRPr="009D2B3D" w:rsidRDefault="009D2B3D" w:rsidP="009D2B3D">
            <w:pPr>
              <w:jc w:val="right"/>
              <w:rPr>
                <w:sz w:val="18"/>
                <w:szCs w:val="18"/>
              </w:rPr>
            </w:pPr>
            <w:r w:rsidRPr="009D2B3D">
              <w:rPr>
                <w:sz w:val="18"/>
                <w:szCs w:val="18"/>
              </w:rPr>
              <w:t>(175,216)</w:t>
            </w:r>
          </w:p>
        </w:tc>
        <w:tc>
          <w:tcPr>
            <w:tcW w:w="1058" w:type="dxa"/>
            <w:shd w:val="clear" w:color="auto" w:fill="FFFFFF" w:themeFill="background1"/>
          </w:tcPr>
          <w:p w14:paraId="0024281C" w14:textId="0D0B43BA" w:rsidR="009D2B3D" w:rsidRPr="009D2B3D" w:rsidRDefault="009D2B3D" w:rsidP="009D2B3D">
            <w:pPr>
              <w:jc w:val="right"/>
              <w:rPr>
                <w:sz w:val="18"/>
                <w:szCs w:val="18"/>
              </w:rPr>
            </w:pPr>
            <w:r w:rsidRPr="009D2B3D">
              <w:rPr>
                <w:sz w:val="18"/>
                <w:szCs w:val="18"/>
              </w:rPr>
              <w:t>(167,502)</w:t>
            </w:r>
          </w:p>
        </w:tc>
        <w:tc>
          <w:tcPr>
            <w:tcW w:w="1058" w:type="dxa"/>
            <w:shd w:val="clear" w:color="auto" w:fill="FFFFFF" w:themeFill="background1"/>
          </w:tcPr>
          <w:p w14:paraId="06235AC5" w14:textId="09F25FC7" w:rsidR="009D2B3D" w:rsidRPr="009D2B3D" w:rsidRDefault="009D2B3D" w:rsidP="009D2B3D">
            <w:pPr>
              <w:jc w:val="right"/>
              <w:rPr>
                <w:sz w:val="18"/>
                <w:szCs w:val="18"/>
              </w:rPr>
            </w:pPr>
            <w:r w:rsidRPr="009D2B3D">
              <w:rPr>
                <w:sz w:val="18"/>
                <w:szCs w:val="18"/>
              </w:rPr>
              <w:t>(191,839)</w:t>
            </w:r>
          </w:p>
        </w:tc>
      </w:tr>
      <w:tr w:rsidR="009D2B3D" w:rsidRPr="009F11DE" w14:paraId="7360D5E6" w14:textId="77777777" w:rsidTr="00853B07">
        <w:trPr>
          <w:cantSplit/>
          <w:trHeight w:val="15"/>
        </w:trPr>
        <w:tc>
          <w:tcPr>
            <w:tcW w:w="3964" w:type="dxa"/>
            <w:shd w:val="clear" w:color="auto" w:fill="FFFFFF" w:themeFill="background1"/>
          </w:tcPr>
          <w:p w14:paraId="4F230422" w14:textId="77777777" w:rsidR="009D2B3D" w:rsidRPr="009D2B3D" w:rsidRDefault="009D2B3D" w:rsidP="009D2B3D">
            <w:pPr>
              <w:rPr>
                <w:sz w:val="18"/>
                <w:szCs w:val="18"/>
              </w:rPr>
            </w:pPr>
            <w:r w:rsidRPr="009D2B3D">
              <w:rPr>
                <w:sz w:val="18"/>
                <w:szCs w:val="18"/>
              </w:rPr>
              <w:t>Net cash inflow/(outflow) from financing activities</w:t>
            </w:r>
          </w:p>
        </w:tc>
        <w:tc>
          <w:tcPr>
            <w:tcW w:w="1057" w:type="dxa"/>
            <w:shd w:val="clear" w:color="auto" w:fill="FFFFFF" w:themeFill="background1"/>
          </w:tcPr>
          <w:p w14:paraId="0D6279F0" w14:textId="687CCE3D" w:rsidR="009D2B3D" w:rsidRPr="009D2B3D" w:rsidRDefault="009D2B3D" w:rsidP="009D2B3D">
            <w:pPr>
              <w:jc w:val="right"/>
              <w:rPr>
                <w:sz w:val="18"/>
                <w:szCs w:val="18"/>
              </w:rPr>
            </w:pPr>
            <w:r w:rsidRPr="009D2B3D">
              <w:rPr>
                <w:sz w:val="18"/>
                <w:szCs w:val="18"/>
              </w:rPr>
              <w:t xml:space="preserve"> 59,833 </w:t>
            </w:r>
          </w:p>
        </w:tc>
        <w:tc>
          <w:tcPr>
            <w:tcW w:w="1058" w:type="dxa"/>
            <w:shd w:val="clear" w:color="auto" w:fill="FFFFFF" w:themeFill="background1"/>
          </w:tcPr>
          <w:p w14:paraId="15ECA570" w14:textId="1866F7EE" w:rsidR="009D2B3D" w:rsidRPr="009D2B3D" w:rsidRDefault="009D2B3D" w:rsidP="009D2B3D">
            <w:pPr>
              <w:jc w:val="right"/>
              <w:rPr>
                <w:sz w:val="18"/>
                <w:szCs w:val="18"/>
              </w:rPr>
            </w:pPr>
            <w:r w:rsidRPr="009D2B3D">
              <w:rPr>
                <w:sz w:val="18"/>
                <w:szCs w:val="18"/>
              </w:rPr>
              <w:t xml:space="preserve"> 42,863 </w:t>
            </w:r>
          </w:p>
        </w:tc>
        <w:tc>
          <w:tcPr>
            <w:tcW w:w="1057" w:type="dxa"/>
            <w:shd w:val="clear" w:color="auto" w:fill="FFFFFF" w:themeFill="background1"/>
          </w:tcPr>
          <w:p w14:paraId="32936479" w14:textId="21616E3D" w:rsidR="009D2B3D" w:rsidRPr="009D2B3D" w:rsidRDefault="009D2B3D" w:rsidP="009D2B3D">
            <w:pPr>
              <w:jc w:val="right"/>
              <w:rPr>
                <w:sz w:val="18"/>
                <w:szCs w:val="18"/>
              </w:rPr>
            </w:pPr>
            <w:r w:rsidRPr="009D2B3D">
              <w:rPr>
                <w:sz w:val="18"/>
                <w:szCs w:val="18"/>
              </w:rPr>
              <w:t xml:space="preserve"> 124,106 </w:t>
            </w:r>
          </w:p>
        </w:tc>
        <w:tc>
          <w:tcPr>
            <w:tcW w:w="1058" w:type="dxa"/>
            <w:shd w:val="clear" w:color="auto" w:fill="FFFFFF" w:themeFill="background1"/>
          </w:tcPr>
          <w:p w14:paraId="5B8244EE" w14:textId="68B0557C" w:rsidR="009D2B3D" w:rsidRPr="009D2B3D" w:rsidRDefault="009D2B3D" w:rsidP="009D2B3D">
            <w:pPr>
              <w:jc w:val="right"/>
              <w:rPr>
                <w:sz w:val="18"/>
                <w:szCs w:val="18"/>
              </w:rPr>
            </w:pPr>
            <w:r w:rsidRPr="009D2B3D">
              <w:rPr>
                <w:sz w:val="18"/>
                <w:szCs w:val="18"/>
              </w:rPr>
              <w:t xml:space="preserve"> 75,034 </w:t>
            </w:r>
          </w:p>
        </w:tc>
        <w:tc>
          <w:tcPr>
            <w:tcW w:w="1058" w:type="dxa"/>
            <w:shd w:val="clear" w:color="auto" w:fill="FFFFFF" w:themeFill="background1"/>
          </w:tcPr>
          <w:p w14:paraId="2F9B4989" w14:textId="6E82EDB8" w:rsidR="009D2B3D" w:rsidRPr="009D2B3D" w:rsidRDefault="009D2B3D" w:rsidP="009D2B3D">
            <w:pPr>
              <w:jc w:val="right"/>
              <w:rPr>
                <w:sz w:val="18"/>
                <w:szCs w:val="18"/>
              </w:rPr>
            </w:pPr>
            <w:r w:rsidRPr="009D2B3D">
              <w:rPr>
                <w:sz w:val="18"/>
                <w:szCs w:val="18"/>
              </w:rPr>
              <w:t xml:space="preserve"> 113,389 </w:t>
            </w:r>
          </w:p>
        </w:tc>
      </w:tr>
      <w:tr w:rsidR="009D2B3D" w:rsidRPr="00C559A9" w14:paraId="263CD9B1" w14:textId="77777777" w:rsidTr="00853B07">
        <w:trPr>
          <w:cantSplit/>
          <w:trHeight w:val="15"/>
        </w:trPr>
        <w:tc>
          <w:tcPr>
            <w:tcW w:w="3964" w:type="dxa"/>
            <w:shd w:val="clear" w:color="auto" w:fill="D9D9D9" w:themeFill="background1" w:themeFillShade="D9"/>
          </w:tcPr>
          <w:p w14:paraId="64FABD2E" w14:textId="77777777" w:rsidR="009D2B3D" w:rsidRPr="009D2B3D" w:rsidRDefault="009D2B3D" w:rsidP="009D2B3D">
            <w:pPr>
              <w:rPr>
                <w:b/>
                <w:bCs/>
                <w:sz w:val="18"/>
                <w:szCs w:val="18"/>
              </w:rPr>
            </w:pPr>
            <w:r w:rsidRPr="009D2B3D">
              <w:rPr>
                <w:b/>
                <w:bCs/>
                <w:sz w:val="18"/>
                <w:szCs w:val="18"/>
              </w:rPr>
              <w:t>Net increase/(decrease) in cash and cash equivalents</w:t>
            </w:r>
          </w:p>
        </w:tc>
        <w:tc>
          <w:tcPr>
            <w:tcW w:w="1057" w:type="dxa"/>
            <w:shd w:val="clear" w:color="auto" w:fill="D9D9D9" w:themeFill="background1" w:themeFillShade="D9"/>
          </w:tcPr>
          <w:p w14:paraId="02388BD2" w14:textId="3ADF8E19" w:rsidR="009D2B3D" w:rsidRPr="009D2B3D" w:rsidRDefault="009D2B3D" w:rsidP="009D2B3D">
            <w:pPr>
              <w:jc w:val="right"/>
              <w:rPr>
                <w:b/>
                <w:bCs/>
                <w:sz w:val="18"/>
                <w:szCs w:val="18"/>
              </w:rPr>
            </w:pPr>
            <w:r w:rsidRPr="009D2B3D">
              <w:rPr>
                <w:b/>
                <w:bCs/>
                <w:sz w:val="18"/>
                <w:szCs w:val="18"/>
              </w:rPr>
              <w:t>(1,755)</w:t>
            </w:r>
          </w:p>
        </w:tc>
        <w:tc>
          <w:tcPr>
            <w:tcW w:w="1058" w:type="dxa"/>
            <w:shd w:val="clear" w:color="auto" w:fill="D9D9D9" w:themeFill="background1" w:themeFillShade="D9"/>
          </w:tcPr>
          <w:p w14:paraId="4E589F4D" w14:textId="1A6C7037" w:rsidR="009D2B3D" w:rsidRPr="009D2B3D" w:rsidRDefault="009D2B3D" w:rsidP="009D2B3D">
            <w:pPr>
              <w:jc w:val="right"/>
              <w:rPr>
                <w:b/>
                <w:bCs/>
                <w:sz w:val="18"/>
                <w:szCs w:val="18"/>
              </w:rPr>
            </w:pPr>
            <w:r w:rsidRPr="009D2B3D">
              <w:rPr>
                <w:b/>
                <w:bCs/>
                <w:sz w:val="18"/>
                <w:szCs w:val="18"/>
              </w:rPr>
              <w:t xml:space="preserve"> 596 </w:t>
            </w:r>
          </w:p>
        </w:tc>
        <w:tc>
          <w:tcPr>
            <w:tcW w:w="1057" w:type="dxa"/>
            <w:shd w:val="clear" w:color="auto" w:fill="D9D9D9" w:themeFill="background1" w:themeFillShade="D9"/>
          </w:tcPr>
          <w:p w14:paraId="38E426AA" w14:textId="6E75D317" w:rsidR="009D2B3D" w:rsidRPr="009D2B3D" w:rsidRDefault="009D2B3D" w:rsidP="009D2B3D">
            <w:pPr>
              <w:jc w:val="right"/>
              <w:rPr>
                <w:b/>
                <w:bCs/>
                <w:sz w:val="18"/>
                <w:szCs w:val="18"/>
              </w:rPr>
            </w:pPr>
            <w:r w:rsidRPr="009D2B3D">
              <w:rPr>
                <w:b/>
                <w:bCs/>
                <w:sz w:val="18"/>
                <w:szCs w:val="18"/>
              </w:rPr>
              <w:t xml:space="preserve"> 6,705 </w:t>
            </w:r>
          </w:p>
        </w:tc>
        <w:tc>
          <w:tcPr>
            <w:tcW w:w="1058" w:type="dxa"/>
            <w:shd w:val="clear" w:color="auto" w:fill="D9D9D9" w:themeFill="background1" w:themeFillShade="D9"/>
          </w:tcPr>
          <w:p w14:paraId="23AC227F" w14:textId="056B3376" w:rsidR="009D2B3D" w:rsidRPr="009D2B3D" w:rsidRDefault="009D2B3D" w:rsidP="009D2B3D">
            <w:pPr>
              <w:jc w:val="right"/>
              <w:rPr>
                <w:b/>
                <w:bCs/>
                <w:sz w:val="18"/>
                <w:szCs w:val="18"/>
              </w:rPr>
            </w:pPr>
            <w:r w:rsidRPr="009D2B3D">
              <w:rPr>
                <w:b/>
                <w:bCs/>
                <w:sz w:val="18"/>
                <w:szCs w:val="18"/>
              </w:rPr>
              <w:t>(2,381)</w:t>
            </w:r>
          </w:p>
        </w:tc>
        <w:tc>
          <w:tcPr>
            <w:tcW w:w="1058" w:type="dxa"/>
            <w:shd w:val="clear" w:color="auto" w:fill="D9D9D9" w:themeFill="background1" w:themeFillShade="D9"/>
          </w:tcPr>
          <w:p w14:paraId="1DB43AB4" w14:textId="6AA14537" w:rsidR="009D2B3D" w:rsidRPr="009D2B3D" w:rsidRDefault="009D2B3D" w:rsidP="009D2B3D">
            <w:pPr>
              <w:jc w:val="right"/>
              <w:rPr>
                <w:b/>
                <w:bCs/>
                <w:sz w:val="18"/>
                <w:szCs w:val="18"/>
              </w:rPr>
            </w:pPr>
            <w:r w:rsidRPr="009D2B3D">
              <w:rPr>
                <w:b/>
                <w:bCs/>
                <w:sz w:val="18"/>
                <w:szCs w:val="18"/>
              </w:rPr>
              <w:t xml:space="preserve"> 7,201 </w:t>
            </w:r>
          </w:p>
        </w:tc>
      </w:tr>
      <w:tr w:rsidR="009D2B3D" w:rsidRPr="009F11DE" w14:paraId="30BE2A17" w14:textId="77777777" w:rsidTr="00853B07">
        <w:trPr>
          <w:cantSplit/>
          <w:trHeight w:val="15"/>
        </w:trPr>
        <w:tc>
          <w:tcPr>
            <w:tcW w:w="3964" w:type="dxa"/>
            <w:shd w:val="clear" w:color="auto" w:fill="FFFFFF" w:themeFill="background1"/>
          </w:tcPr>
          <w:p w14:paraId="07782E07" w14:textId="77777777" w:rsidR="009D2B3D" w:rsidRPr="009D2B3D" w:rsidRDefault="009D2B3D" w:rsidP="009D2B3D">
            <w:pPr>
              <w:rPr>
                <w:sz w:val="18"/>
                <w:szCs w:val="18"/>
              </w:rPr>
            </w:pPr>
            <w:r w:rsidRPr="009D2B3D">
              <w:rPr>
                <w:sz w:val="18"/>
                <w:szCs w:val="18"/>
              </w:rPr>
              <w:t>Cash and cash equivalents at the beginning of the financial year</w:t>
            </w:r>
          </w:p>
        </w:tc>
        <w:tc>
          <w:tcPr>
            <w:tcW w:w="1057" w:type="dxa"/>
            <w:shd w:val="clear" w:color="auto" w:fill="FFFFFF" w:themeFill="background1"/>
          </w:tcPr>
          <w:p w14:paraId="288A640A" w14:textId="5B75DC6B" w:rsidR="009D2B3D" w:rsidRPr="009D2B3D" w:rsidRDefault="009D2B3D" w:rsidP="009D2B3D">
            <w:pPr>
              <w:jc w:val="right"/>
              <w:rPr>
                <w:sz w:val="18"/>
                <w:szCs w:val="18"/>
              </w:rPr>
            </w:pPr>
            <w:r w:rsidRPr="009D2B3D">
              <w:rPr>
                <w:sz w:val="18"/>
                <w:szCs w:val="18"/>
              </w:rPr>
              <w:t xml:space="preserve"> 8,031 </w:t>
            </w:r>
          </w:p>
        </w:tc>
        <w:tc>
          <w:tcPr>
            <w:tcW w:w="1058" w:type="dxa"/>
            <w:shd w:val="clear" w:color="auto" w:fill="FFFFFF" w:themeFill="background1"/>
          </w:tcPr>
          <w:p w14:paraId="602C8E86" w14:textId="381ECBA6" w:rsidR="009D2B3D" w:rsidRPr="009D2B3D" w:rsidRDefault="009D2B3D" w:rsidP="009D2B3D">
            <w:pPr>
              <w:jc w:val="right"/>
              <w:rPr>
                <w:sz w:val="18"/>
                <w:szCs w:val="18"/>
              </w:rPr>
            </w:pPr>
            <w:r w:rsidRPr="009D2B3D">
              <w:rPr>
                <w:sz w:val="18"/>
                <w:szCs w:val="18"/>
              </w:rPr>
              <w:t xml:space="preserve"> 2,904 </w:t>
            </w:r>
          </w:p>
        </w:tc>
        <w:tc>
          <w:tcPr>
            <w:tcW w:w="1057" w:type="dxa"/>
            <w:shd w:val="clear" w:color="auto" w:fill="FFFFFF" w:themeFill="background1"/>
          </w:tcPr>
          <w:p w14:paraId="2864A20B" w14:textId="504D2AAF" w:rsidR="009D2B3D" w:rsidRPr="009D2B3D" w:rsidRDefault="009D2B3D" w:rsidP="009D2B3D">
            <w:pPr>
              <w:jc w:val="right"/>
              <w:rPr>
                <w:sz w:val="18"/>
                <w:szCs w:val="18"/>
              </w:rPr>
            </w:pPr>
            <w:r w:rsidRPr="009D2B3D">
              <w:rPr>
                <w:sz w:val="18"/>
                <w:szCs w:val="18"/>
              </w:rPr>
              <w:t xml:space="preserve"> 1,326 </w:t>
            </w:r>
          </w:p>
        </w:tc>
        <w:tc>
          <w:tcPr>
            <w:tcW w:w="1058" w:type="dxa"/>
            <w:shd w:val="clear" w:color="auto" w:fill="FFFFFF" w:themeFill="background1"/>
          </w:tcPr>
          <w:p w14:paraId="37A94109" w14:textId="2202FACD" w:rsidR="009D2B3D" w:rsidRPr="009D2B3D" w:rsidRDefault="009D2B3D" w:rsidP="009D2B3D">
            <w:pPr>
              <w:jc w:val="right"/>
              <w:rPr>
                <w:sz w:val="18"/>
                <w:szCs w:val="18"/>
              </w:rPr>
            </w:pPr>
            <w:r w:rsidRPr="009D2B3D">
              <w:rPr>
                <w:sz w:val="18"/>
                <w:szCs w:val="18"/>
              </w:rPr>
              <w:t xml:space="preserve"> 9,743 </w:t>
            </w:r>
          </w:p>
        </w:tc>
        <w:tc>
          <w:tcPr>
            <w:tcW w:w="1058" w:type="dxa"/>
            <w:shd w:val="clear" w:color="auto" w:fill="FFFFFF" w:themeFill="background1"/>
          </w:tcPr>
          <w:p w14:paraId="7330C338" w14:textId="592EA009" w:rsidR="009D2B3D" w:rsidRPr="009D2B3D" w:rsidRDefault="009D2B3D" w:rsidP="009D2B3D">
            <w:pPr>
              <w:jc w:val="right"/>
              <w:rPr>
                <w:sz w:val="18"/>
                <w:szCs w:val="18"/>
              </w:rPr>
            </w:pPr>
            <w:r w:rsidRPr="009D2B3D">
              <w:rPr>
                <w:sz w:val="18"/>
                <w:szCs w:val="18"/>
              </w:rPr>
              <w:t xml:space="preserve"> 2,541 </w:t>
            </w:r>
          </w:p>
        </w:tc>
      </w:tr>
      <w:tr w:rsidR="009D2B3D" w:rsidRPr="00C559A9" w14:paraId="64D0611D" w14:textId="77777777" w:rsidTr="00853B07">
        <w:trPr>
          <w:cantSplit/>
          <w:trHeight w:val="15"/>
        </w:trPr>
        <w:tc>
          <w:tcPr>
            <w:tcW w:w="3964" w:type="dxa"/>
            <w:shd w:val="clear" w:color="auto" w:fill="D9D9D9" w:themeFill="background1" w:themeFillShade="D9"/>
          </w:tcPr>
          <w:p w14:paraId="0A6179D1" w14:textId="77777777" w:rsidR="009D2B3D" w:rsidRPr="009D2B3D" w:rsidRDefault="009D2B3D" w:rsidP="009D2B3D">
            <w:pPr>
              <w:rPr>
                <w:b/>
                <w:bCs/>
                <w:sz w:val="18"/>
                <w:szCs w:val="18"/>
              </w:rPr>
            </w:pPr>
            <w:r w:rsidRPr="009D2B3D">
              <w:rPr>
                <w:b/>
                <w:bCs/>
                <w:sz w:val="18"/>
                <w:szCs w:val="18"/>
              </w:rPr>
              <w:t>Cash and cash equivalents at the end of the financial year</w:t>
            </w:r>
          </w:p>
        </w:tc>
        <w:tc>
          <w:tcPr>
            <w:tcW w:w="1057" w:type="dxa"/>
            <w:shd w:val="clear" w:color="auto" w:fill="D9D9D9" w:themeFill="background1" w:themeFillShade="D9"/>
          </w:tcPr>
          <w:p w14:paraId="588B0903" w14:textId="5BFD310D" w:rsidR="009D2B3D" w:rsidRPr="009D2B3D" w:rsidRDefault="009D2B3D" w:rsidP="009D2B3D">
            <w:pPr>
              <w:jc w:val="right"/>
              <w:rPr>
                <w:b/>
                <w:bCs/>
                <w:sz w:val="18"/>
                <w:szCs w:val="18"/>
              </w:rPr>
            </w:pPr>
            <w:r w:rsidRPr="009D2B3D">
              <w:rPr>
                <w:b/>
                <w:bCs/>
                <w:sz w:val="18"/>
                <w:szCs w:val="18"/>
              </w:rPr>
              <w:t xml:space="preserve"> 6,276 </w:t>
            </w:r>
          </w:p>
        </w:tc>
        <w:tc>
          <w:tcPr>
            <w:tcW w:w="1058" w:type="dxa"/>
            <w:shd w:val="clear" w:color="auto" w:fill="D9D9D9" w:themeFill="background1" w:themeFillShade="D9"/>
          </w:tcPr>
          <w:p w14:paraId="68E599DE" w14:textId="589D7128" w:rsidR="009D2B3D" w:rsidRPr="009D2B3D" w:rsidRDefault="009D2B3D" w:rsidP="009D2B3D">
            <w:pPr>
              <w:jc w:val="right"/>
              <w:rPr>
                <w:b/>
                <w:bCs/>
                <w:sz w:val="18"/>
                <w:szCs w:val="18"/>
              </w:rPr>
            </w:pPr>
            <w:r w:rsidRPr="009D2B3D">
              <w:rPr>
                <w:b/>
                <w:bCs/>
                <w:sz w:val="18"/>
                <w:szCs w:val="18"/>
              </w:rPr>
              <w:t xml:space="preserve"> 3,500 </w:t>
            </w:r>
          </w:p>
        </w:tc>
        <w:tc>
          <w:tcPr>
            <w:tcW w:w="1057" w:type="dxa"/>
            <w:shd w:val="clear" w:color="auto" w:fill="D9D9D9" w:themeFill="background1" w:themeFillShade="D9"/>
          </w:tcPr>
          <w:p w14:paraId="4B4CDB6D" w14:textId="5B0B8AD2" w:rsidR="009D2B3D" w:rsidRPr="009D2B3D" w:rsidRDefault="009D2B3D" w:rsidP="009D2B3D">
            <w:pPr>
              <w:jc w:val="right"/>
              <w:rPr>
                <w:b/>
                <w:bCs/>
                <w:sz w:val="18"/>
                <w:szCs w:val="18"/>
              </w:rPr>
            </w:pPr>
            <w:r w:rsidRPr="009D2B3D">
              <w:rPr>
                <w:b/>
                <w:bCs/>
                <w:sz w:val="18"/>
                <w:szCs w:val="18"/>
              </w:rPr>
              <w:t xml:space="preserve"> 8,031 </w:t>
            </w:r>
          </w:p>
        </w:tc>
        <w:tc>
          <w:tcPr>
            <w:tcW w:w="1058" w:type="dxa"/>
            <w:shd w:val="clear" w:color="auto" w:fill="D9D9D9" w:themeFill="background1" w:themeFillShade="D9"/>
          </w:tcPr>
          <w:p w14:paraId="5E8AAF26" w14:textId="090EBC36" w:rsidR="009D2B3D" w:rsidRPr="009D2B3D" w:rsidRDefault="009D2B3D" w:rsidP="009D2B3D">
            <w:pPr>
              <w:jc w:val="right"/>
              <w:rPr>
                <w:b/>
                <w:bCs/>
                <w:sz w:val="18"/>
                <w:szCs w:val="18"/>
              </w:rPr>
            </w:pPr>
            <w:r w:rsidRPr="009D2B3D">
              <w:rPr>
                <w:b/>
                <w:bCs/>
                <w:sz w:val="18"/>
                <w:szCs w:val="18"/>
              </w:rPr>
              <w:t xml:space="preserve"> 7,362 </w:t>
            </w:r>
          </w:p>
        </w:tc>
        <w:tc>
          <w:tcPr>
            <w:tcW w:w="1058" w:type="dxa"/>
            <w:shd w:val="clear" w:color="auto" w:fill="D9D9D9" w:themeFill="background1" w:themeFillShade="D9"/>
          </w:tcPr>
          <w:p w14:paraId="096E3ABF" w14:textId="48828C60" w:rsidR="009D2B3D" w:rsidRPr="009D2B3D" w:rsidRDefault="009D2B3D" w:rsidP="009D2B3D">
            <w:pPr>
              <w:jc w:val="right"/>
              <w:rPr>
                <w:b/>
                <w:bCs/>
                <w:sz w:val="18"/>
                <w:szCs w:val="18"/>
              </w:rPr>
            </w:pPr>
            <w:r w:rsidRPr="009D2B3D">
              <w:rPr>
                <w:b/>
                <w:bCs/>
                <w:sz w:val="18"/>
                <w:szCs w:val="18"/>
              </w:rPr>
              <w:t xml:space="preserve"> 9,742 </w:t>
            </w:r>
          </w:p>
        </w:tc>
      </w:tr>
      <w:tr w:rsidR="00781B9E" w:rsidRPr="009F11DE" w14:paraId="600D38DC" w14:textId="77777777" w:rsidTr="00853B07">
        <w:trPr>
          <w:cantSplit/>
          <w:trHeight w:val="15"/>
        </w:trPr>
        <w:tc>
          <w:tcPr>
            <w:tcW w:w="9252" w:type="dxa"/>
            <w:gridSpan w:val="6"/>
            <w:shd w:val="clear" w:color="auto" w:fill="FFFFFF" w:themeFill="background1"/>
          </w:tcPr>
          <w:p w14:paraId="292A8A6D" w14:textId="77777777" w:rsidR="00781B9E" w:rsidRPr="009D2B3D" w:rsidRDefault="00781B9E" w:rsidP="00853B07">
            <w:pPr>
              <w:rPr>
                <w:sz w:val="18"/>
                <w:szCs w:val="18"/>
              </w:rPr>
            </w:pPr>
            <w:r w:rsidRPr="009D2B3D">
              <w:rPr>
                <w:sz w:val="18"/>
                <w:szCs w:val="18"/>
              </w:rPr>
              <w:t>Represented by:</w:t>
            </w:r>
          </w:p>
        </w:tc>
      </w:tr>
      <w:tr w:rsidR="009D2B3D" w:rsidRPr="009F11DE" w14:paraId="59B4B42F" w14:textId="77777777" w:rsidTr="00853B07">
        <w:trPr>
          <w:cantSplit/>
          <w:trHeight w:val="15"/>
        </w:trPr>
        <w:tc>
          <w:tcPr>
            <w:tcW w:w="3964" w:type="dxa"/>
            <w:shd w:val="clear" w:color="auto" w:fill="FFFFFF" w:themeFill="background1"/>
          </w:tcPr>
          <w:p w14:paraId="764B31C6" w14:textId="77777777" w:rsidR="009D2B3D" w:rsidRPr="009D2B3D" w:rsidRDefault="009D2B3D" w:rsidP="009D2B3D">
            <w:pPr>
              <w:rPr>
                <w:sz w:val="18"/>
                <w:szCs w:val="18"/>
              </w:rPr>
            </w:pPr>
            <w:r w:rsidRPr="009D2B3D">
              <w:rPr>
                <w:sz w:val="18"/>
                <w:szCs w:val="18"/>
              </w:rPr>
              <w:t>Cash and cash equivalents</w:t>
            </w:r>
          </w:p>
        </w:tc>
        <w:tc>
          <w:tcPr>
            <w:tcW w:w="1057" w:type="dxa"/>
            <w:shd w:val="clear" w:color="auto" w:fill="FFFFFF" w:themeFill="background1"/>
          </w:tcPr>
          <w:p w14:paraId="3DC181AD" w14:textId="04A227E8" w:rsidR="009D2B3D" w:rsidRPr="009D2B3D" w:rsidRDefault="009D2B3D" w:rsidP="009D2B3D">
            <w:pPr>
              <w:jc w:val="right"/>
              <w:rPr>
                <w:sz w:val="18"/>
                <w:szCs w:val="18"/>
              </w:rPr>
            </w:pPr>
            <w:r w:rsidRPr="009D2B3D">
              <w:rPr>
                <w:sz w:val="18"/>
                <w:szCs w:val="18"/>
              </w:rPr>
              <w:t xml:space="preserve"> 6,276 </w:t>
            </w:r>
          </w:p>
        </w:tc>
        <w:tc>
          <w:tcPr>
            <w:tcW w:w="1058" w:type="dxa"/>
            <w:shd w:val="clear" w:color="auto" w:fill="FFFFFF" w:themeFill="background1"/>
          </w:tcPr>
          <w:p w14:paraId="4398905B" w14:textId="7B056B70" w:rsidR="009D2B3D" w:rsidRPr="009D2B3D" w:rsidRDefault="009D2B3D" w:rsidP="009D2B3D">
            <w:pPr>
              <w:jc w:val="right"/>
              <w:rPr>
                <w:sz w:val="18"/>
                <w:szCs w:val="18"/>
              </w:rPr>
            </w:pPr>
            <w:r w:rsidRPr="009D2B3D">
              <w:rPr>
                <w:sz w:val="18"/>
                <w:szCs w:val="18"/>
              </w:rPr>
              <w:t xml:space="preserve"> 3,500 </w:t>
            </w:r>
          </w:p>
        </w:tc>
        <w:tc>
          <w:tcPr>
            <w:tcW w:w="1057" w:type="dxa"/>
            <w:shd w:val="clear" w:color="auto" w:fill="FFFFFF" w:themeFill="background1"/>
          </w:tcPr>
          <w:p w14:paraId="4EE6C9FA" w14:textId="4EA593EB" w:rsidR="009D2B3D" w:rsidRPr="009D2B3D" w:rsidRDefault="009D2B3D" w:rsidP="009D2B3D">
            <w:pPr>
              <w:jc w:val="right"/>
              <w:rPr>
                <w:sz w:val="18"/>
                <w:szCs w:val="18"/>
              </w:rPr>
            </w:pPr>
            <w:r w:rsidRPr="009D2B3D">
              <w:rPr>
                <w:sz w:val="18"/>
                <w:szCs w:val="18"/>
              </w:rPr>
              <w:t xml:space="preserve"> 8,031 </w:t>
            </w:r>
          </w:p>
        </w:tc>
        <w:tc>
          <w:tcPr>
            <w:tcW w:w="1058" w:type="dxa"/>
            <w:shd w:val="clear" w:color="auto" w:fill="FFFFFF" w:themeFill="background1"/>
          </w:tcPr>
          <w:p w14:paraId="06DF4A46" w14:textId="47AFABC4" w:rsidR="009D2B3D" w:rsidRPr="009D2B3D" w:rsidRDefault="009D2B3D" w:rsidP="009D2B3D">
            <w:pPr>
              <w:jc w:val="right"/>
              <w:rPr>
                <w:sz w:val="18"/>
                <w:szCs w:val="18"/>
              </w:rPr>
            </w:pPr>
            <w:r w:rsidRPr="009D2B3D">
              <w:rPr>
                <w:sz w:val="18"/>
                <w:szCs w:val="18"/>
              </w:rPr>
              <w:t xml:space="preserve"> 7,362 </w:t>
            </w:r>
          </w:p>
        </w:tc>
        <w:tc>
          <w:tcPr>
            <w:tcW w:w="1058" w:type="dxa"/>
            <w:shd w:val="clear" w:color="auto" w:fill="FFFFFF" w:themeFill="background1"/>
          </w:tcPr>
          <w:p w14:paraId="3F3119B9" w14:textId="4B3E643B" w:rsidR="009D2B3D" w:rsidRPr="009D2B3D" w:rsidRDefault="009D2B3D" w:rsidP="009D2B3D">
            <w:pPr>
              <w:jc w:val="right"/>
              <w:rPr>
                <w:sz w:val="18"/>
                <w:szCs w:val="18"/>
              </w:rPr>
            </w:pPr>
            <w:r w:rsidRPr="009D2B3D">
              <w:rPr>
                <w:sz w:val="18"/>
                <w:szCs w:val="18"/>
              </w:rPr>
              <w:t xml:space="preserve"> 9,742 </w:t>
            </w:r>
          </w:p>
        </w:tc>
      </w:tr>
      <w:tr w:rsidR="009D2B3D" w:rsidRPr="009F11DE" w14:paraId="678917EE" w14:textId="77777777" w:rsidTr="00853B07">
        <w:trPr>
          <w:cantSplit/>
          <w:trHeight w:val="15"/>
        </w:trPr>
        <w:tc>
          <w:tcPr>
            <w:tcW w:w="3964" w:type="dxa"/>
            <w:shd w:val="clear" w:color="auto" w:fill="FFFFFF" w:themeFill="background1"/>
          </w:tcPr>
          <w:p w14:paraId="04715116" w14:textId="77777777" w:rsidR="009D2B3D" w:rsidRPr="009D2B3D" w:rsidRDefault="009D2B3D" w:rsidP="009D2B3D">
            <w:pPr>
              <w:rPr>
                <w:sz w:val="18"/>
                <w:szCs w:val="18"/>
              </w:rPr>
            </w:pPr>
            <w:r w:rsidRPr="009D2B3D">
              <w:rPr>
                <w:sz w:val="18"/>
                <w:szCs w:val="18"/>
              </w:rPr>
              <w:t>Bank overdraft</w:t>
            </w:r>
          </w:p>
        </w:tc>
        <w:tc>
          <w:tcPr>
            <w:tcW w:w="1057" w:type="dxa"/>
            <w:shd w:val="clear" w:color="auto" w:fill="FFFFFF" w:themeFill="background1"/>
          </w:tcPr>
          <w:p w14:paraId="0A405C96" w14:textId="6A73BB93" w:rsidR="009D2B3D" w:rsidRPr="009D2B3D" w:rsidRDefault="009D2B3D" w:rsidP="009D2B3D">
            <w:pPr>
              <w:jc w:val="right"/>
              <w:rPr>
                <w:sz w:val="18"/>
                <w:szCs w:val="18"/>
              </w:rPr>
            </w:pPr>
            <w:r w:rsidRPr="009D2B3D">
              <w:rPr>
                <w:sz w:val="18"/>
                <w:szCs w:val="18"/>
              </w:rPr>
              <w:t xml:space="preserve"> - </w:t>
            </w:r>
          </w:p>
        </w:tc>
        <w:tc>
          <w:tcPr>
            <w:tcW w:w="1058" w:type="dxa"/>
            <w:shd w:val="clear" w:color="auto" w:fill="FFFFFF" w:themeFill="background1"/>
          </w:tcPr>
          <w:p w14:paraId="622CA4AE" w14:textId="3064FD11" w:rsidR="009D2B3D" w:rsidRPr="009D2B3D" w:rsidRDefault="009D2B3D" w:rsidP="009D2B3D">
            <w:pPr>
              <w:jc w:val="right"/>
              <w:rPr>
                <w:sz w:val="18"/>
                <w:szCs w:val="18"/>
              </w:rPr>
            </w:pPr>
            <w:r w:rsidRPr="009D2B3D">
              <w:rPr>
                <w:sz w:val="18"/>
                <w:szCs w:val="18"/>
              </w:rPr>
              <w:t xml:space="preserve"> - </w:t>
            </w:r>
          </w:p>
        </w:tc>
        <w:tc>
          <w:tcPr>
            <w:tcW w:w="1057" w:type="dxa"/>
            <w:shd w:val="clear" w:color="auto" w:fill="FFFFFF" w:themeFill="background1"/>
          </w:tcPr>
          <w:p w14:paraId="65B69E45" w14:textId="068A4469" w:rsidR="009D2B3D" w:rsidRPr="009D2B3D" w:rsidRDefault="009D2B3D" w:rsidP="009D2B3D">
            <w:pPr>
              <w:jc w:val="right"/>
              <w:rPr>
                <w:sz w:val="18"/>
                <w:szCs w:val="18"/>
              </w:rPr>
            </w:pPr>
            <w:r w:rsidRPr="009D2B3D">
              <w:rPr>
                <w:sz w:val="18"/>
                <w:szCs w:val="18"/>
              </w:rPr>
              <w:t xml:space="preserve"> - </w:t>
            </w:r>
          </w:p>
        </w:tc>
        <w:tc>
          <w:tcPr>
            <w:tcW w:w="1058" w:type="dxa"/>
            <w:shd w:val="clear" w:color="auto" w:fill="FFFFFF" w:themeFill="background1"/>
          </w:tcPr>
          <w:p w14:paraId="29E2AEF6" w14:textId="1E7A2AA9" w:rsidR="009D2B3D" w:rsidRPr="009D2B3D" w:rsidRDefault="009D2B3D" w:rsidP="009D2B3D">
            <w:pPr>
              <w:jc w:val="right"/>
              <w:rPr>
                <w:sz w:val="18"/>
                <w:szCs w:val="18"/>
              </w:rPr>
            </w:pPr>
            <w:r w:rsidRPr="009D2B3D">
              <w:rPr>
                <w:sz w:val="18"/>
                <w:szCs w:val="18"/>
              </w:rPr>
              <w:t xml:space="preserve"> -   </w:t>
            </w:r>
          </w:p>
        </w:tc>
        <w:tc>
          <w:tcPr>
            <w:tcW w:w="1058" w:type="dxa"/>
            <w:shd w:val="clear" w:color="auto" w:fill="FFFFFF" w:themeFill="background1"/>
          </w:tcPr>
          <w:p w14:paraId="785ECA70" w14:textId="166FBAE8" w:rsidR="009D2B3D" w:rsidRPr="009D2B3D" w:rsidRDefault="009D2B3D" w:rsidP="009D2B3D">
            <w:pPr>
              <w:jc w:val="right"/>
              <w:rPr>
                <w:sz w:val="18"/>
                <w:szCs w:val="18"/>
              </w:rPr>
            </w:pPr>
            <w:r w:rsidRPr="009D2B3D">
              <w:rPr>
                <w:sz w:val="18"/>
                <w:szCs w:val="18"/>
              </w:rPr>
              <w:t xml:space="preserve"> - </w:t>
            </w:r>
          </w:p>
        </w:tc>
      </w:tr>
      <w:tr w:rsidR="009D2B3D" w:rsidRPr="00C559A9" w14:paraId="6A1B88D1" w14:textId="77777777" w:rsidTr="00853B07">
        <w:trPr>
          <w:cantSplit/>
          <w:trHeight w:val="15"/>
        </w:trPr>
        <w:tc>
          <w:tcPr>
            <w:tcW w:w="3964" w:type="dxa"/>
            <w:shd w:val="clear" w:color="auto" w:fill="D9D9D9" w:themeFill="background1" w:themeFillShade="D9"/>
          </w:tcPr>
          <w:p w14:paraId="1167FF5F" w14:textId="77777777" w:rsidR="009D2B3D" w:rsidRPr="009D2B3D" w:rsidRDefault="009D2B3D" w:rsidP="009D2B3D">
            <w:pPr>
              <w:rPr>
                <w:b/>
                <w:bCs/>
                <w:sz w:val="18"/>
                <w:szCs w:val="18"/>
              </w:rPr>
            </w:pPr>
          </w:p>
        </w:tc>
        <w:tc>
          <w:tcPr>
            <w:tcW w:w="1057" w:type="dxa"/>
            <w:shd w:val="clear" w:color="auto" w:fill="D9D9D9" w:themeFill="background1" w:themeFillShade="D9"/>
          </w:tcPr>
          <w:p w14:paraId="5DBCA74B" w14:textId="67C101C6" w:rsidR="009D2B3D" w:rsidRPr="009D2B3D" w:rsidRDefault="009D2B3D" w:rsidP="009D2B3D">
            <w:pPr>
              <w:jc w:val="right"/>
              <w:rPr>
                <w:b/>
                <w:bCs/>
                <w:sz w:val="18"/>
                <w:szCs w:val="18"/>
              </w:rPr>
            </w:pPr>
            <w:r w:rsidRPr="009D2B3D">
              <w:rPr>
                <w:b/>
                <w:bCs/>
                <w:sz w:val="18"/>
                <w:szCs w:val="18"/>
              </w:rPr>
              <w:t xml:space="preserve"> 6,276 </w:t>
            </w:r>
          </w:p>
        </w:tc>
        <w:tc>
          <w:tcPr>
            <w:tcW w:w="1058" w:type="dxa"/>
            <w:shd w:val="clear" w:color="auto" w:fill="D9D9D9" w:themeFill="background1" w:themeFillShade="D9"/>
          </w:tcPr>
          <w:p w14:paraId="296AC289" w14:textId="019AD7F3" w:rsidR="009D2B3D" w:rsidRPr="009D2B3D" w:rsidRDefault="009D2B3D" w:rsidP="009D2B3D">
            <w:pPr>
              <w:jc w:val="right"/>
              <w:rPr>
                <w:b/>
                <w:bCs/>
                <w:sz w:val="18"/>
                <w:szCs w:val="18"/>
              </w:rPr>
            </w:pPr>
            <w:r w:rsidRPr="009D2B3D">
              <w:rPr>
                <w:b/>
                <w:bCs/>
                <w:sz w:val="18"/>
                <w:szCs w:val="18"/>
              </w:rPr>
              <w:t xml:space="preserve"> 3,500 </w:t>
            </w:r>
          </w:p>
        </w:tc>
        <w:tc>
          <w:tcPr>
            <w:tcW w:w="1057" w:type="dxa"/>
            <w:shd w:val="clear" w:color="auto" w:fill="D9D9D9" w:themeFill="background1" w:themeFillShade="D9"/>
          </w:tcPr>
          <w:p w14:paraId="7FB5D6E2" w14:textId="44ED3B25" w:rsidR="009D2B3D" w:rsidRPr="009D2B3D" w:rsidRDefault="009D2B3D" w:rsidP="009D2B3D">
            <w:pPr>
              <w:jc w:val="right"/>
              <w:rPr>
                <w:b/>
                <w:bCs/>
                <w:sz w:val="18"/>
                <w:szCs w:val="18"/>
              </w:rPr>
            </w:pPr>
            <w:r w:rsidRPr="009D2B3D">
              <w:rPr>
                <w:b/>
                <w:bCs/>
                <w:sz w:val="18"/>
                <w:szCs w:val="18"/>
              </w:rPr>
              <w:t xml:space="preserve"> 8,031 </w:t>
            </w:r>
          </w:p>
        </w:tc>
        <w:tc>
          <w:tcPr>
            <w:tcW w:w="1058" w:type="dxa"/>
            <w:shd w:val="clear" w:color="auto" w:fill="D9D9D9" w:themeFill="background1" w:themeFillShade="D9"/>
          </w:tcPr>
          <w:p w14:paraId="7E01A97D" w14:textId="7480E553" w:rsidR="009D2B3D" w:rsidRPr="009D2B3D" w:rsidRDefault="009D2B3D" w:rsidP="009D2B3D">
            <w:pPr>
              <w:jc w:val="right"/>
              <w:rPr>
                <w:b/>
                <w:bCs/>
                <w:sz w:val="18"/>
                <w:szCs w:val="18"/>
              </w:rPr>
            </w:pPr>
            <w:r w:rsidRPr="009D2B3D">
              <w:rPr>
                <w:b/>
                <w:bCs/>
                <w:sz w:val="18"/>
                <w:szCs w:val="18"/>
              </w:rPr>
              <w:t xml:space="preserve"> 7,362 </w:t>
            </w:r>
          </w:p>
        </w:tc>
        <w:tc>
          <w:tcPr>
            <w:tcW w:w="1058" w:type="dxa"/>
            <w:shd w:val="clear" w:color="auto" w:fill="D9D9D9" w:themeFill="background1" w:themeFillShade="D9"/>
          </w:tcPr>
          <w:p w14:paraId="20D01753" w14:textId="335A5E8E" w:rsidR="009D2B3D" w:rsidRPr="009D2B3D" w:rsidRDefault="009D2B3D" w:rsidP="009D2B3D">
            <w:pPr>
              <w:jc w:val="right"/>
              <w:rPr>
                <w:b/>
                <w:bCs/>
                <w:sz w:val="18"/>
                <w:szCs w:val="18"/>
              </w:rPr>
            </w:pPr>
            <w:r w:rsidRPr="009D2B3D">
              <w:rPr>
                <w:b/>
                <w:bCs/>
                <w:sz w:val="18"/>
                <w:szCs w:val="18"/>
              </w:rPr>
              <w:t xml:space="preserve"> 9,742 </w:t>
            </w:r>
          </w:p>
        </w:tc>
      </w:tr>
    </w:tbl>
    <w:p w14:paraId="40F1CF46" w14:textId="1FBB2AAD" w:rsidR="00781B9E" w:rsidRDefault="00781B9E">
      <w:pPr>
        <w:rPr>
          <w:sz w:val="18"/>
          <w:szCs w:val="18"/>
          <w:lang w:val="en-GB"/>
        </w:rPr>
      </w:pPr>
      <w:r>
        <w:rPr>
          <w:sz w:val="18"/>
          <w:szCs w:val="18"/>
          <w:lang w:val="en-GB"/>
        </w:rPr>
        <w:br w:type="page"/>
      </w:r>
    </w:p>
    <w:p w14:paraId="3F3D1E75" w14:textId="77777777" w:rsidR="00781B9E" w:rsidRDefault="00781B9E">
      <w:pPr>
        <w:rPr>
          <w:sz w:val="18"/>
          <w:szCs w:val="18"/>
          <w:lang w:val="en-GB"/>
        </w:rPr>
      </w:pPr>
    </w:p>
    <w:p w14:paraId="50C6632C" w14:textId="7A20E873" w:rsidR="009E727C" w:rsidRDefault="009E727C" w:rsidP="009E727C">
      <w:pPr>
        <w:pStyle w:val="Heading2"/>
        <w:rPr>
          <w:lang w:val="en-GB"/>
        </w:rPr>
      </w:pPr>
      <w:bookmarkStart w:id="61" w:name="_Toc211422673"/>
      <w:r w:rsidRPr="009E727C">
        <w:rPr>
          <w:lang w:val="en-GB"/>
        </w:rPr>
        <w:t>Notes to the financial statements</w:t>
      </w:r>
      <w:bookmarkEnd w:id="61"/>
    </w:p>
    <w:p w14:paraId="2C9AE078" w14:textId="198F89DD" w:rsidR="009E727C" w:rsidRPr="009E727C" w:rsidRDefault="009E727C" w:rsidP="009E727C">
      <w:pPr>
        <w:pStyle w:val="Heading3"/>
        <w:rPr>
          <w:lang w:val="en-GB"/>
        </w:rPr>
      </w:pPr>
      <w:bookmarkStart w:id="62" w:name="_Toc211422674"/>
      <w:r w:rsidRPr="009E727C">
        <w:rPr>
          <w:lang w:val="en-GB"/>
        </w:rPr>
        <w:t>Accounting policies</w:t>
      </w:r>
      <w:bookmarkEnd w:id="62"/>
    </w:p>
    <w:p w14:paraId="4CA223AD" w14:textId="07A9D428" w:rsidR="009E727C" w:rsidRPr="009E727C" w:rsidRDefault="009E727C" w:rsidP="009E727C">
      <w:pPr>
        <w:pStyle w:val="Heading4"/>
        <w:rPr>
          <w:lang w:val="en-GB"/>
        </w:rPr>
      </w:pPr>
      <w:r w:rsidRPr="009E727C">
        <w:rPr>
          <w:lang w:val="en-GB"/>
        </w:rPr>
        <w:t>Basis of reporting</w:t>
      </w:r>
    </w:p>
    <w:p w14:paraId="033F73A6" w14:textId="77777777" w:rsidR="009E727C" w:rsidRPr="009E727C" w:rsidRDefault="009E727C" w:rsidP="009E727C">
      <w:pPr>
        <w:rPr>
          <w:sz w:val="24"/>
          <w:lang w:val="en-GB"/>
        </w:rPr>
      </w:pPr>
      <w:r w:rsidRPr="009E727C">
        <w:rPr>
          <w:sz w:val="24"/>
          <w:lang w:val="en-GB"/>
        </w:rPr>
        <w:t xml:space="preserve">The information presented is in New Zealand dollars, which is the functional currency of the Council and Group’s entities rounded to the nearest thousand dollars ($’000) unless otherwise stated. </w:t>
      </w:r>
    </w:p>
    <w:p w14:paraId="34446BF1" w14:textId="77777777" w:rsidR="009E727C" w:rsidRPr="009E727C" w:rsidRDefault="009E727C" w:rsidP="009E727C">
      <w:pPr>
        <w:rPr>
          <w:sz w:val="24"/>
          <w:lang w:val="en-GB"/>
        </w:rPr>
      </w:pPr>
      <w:r w:rsidRPr="009E727C">
        <w:rPr>
          <w:sz w:val="24"/>
          <w:lang w:val="en-GB"/>
        </w:rPr>
        <w:t xml:space="preserve">The summary financial statements and associated disclosures have been extracted from the full annual report. </w:t>
      </w:r>
      <w:proofErr w:type="gramStart"/>
      <w:r w:rsidRPr="009E727C">
        <w:rPr>
          <w:sz w:val="24"/>
          <w:lang w:val="en-GB"/>
        </w:rPr>
        <w:t>However</w:t>
      </w:r>
      <w:proofErr w:type="gramEnd"/>
      <w:r w:rsidRPr="009E727C">
        <w:rPr>
          <w:sz w:val="24"/>
          <w:lang w:val="en-GB"/>
        </w:rPr>
        <w:t xml:space="preserve"> the summary financial statements do not include all the disclosures provided in the full financial statements and cannot be expected to provide as complete an understanding as provided by the full financial statements. </w:t>
      </w:r>
    </w:p>
    <w:p w14:paraId="3FEDBEB7" w14:textId="77777777" w:rsidR="009E727C" w:rsidRPr="009E727C" w:rsidRDefault="009E727C" w:rsidP="009E727C">
      <w:pPr>
        <w:rPr>
          <w:sz w:val="24"/>
          <w:lang w:val="en-GB"/>
        </w:rPr>
      </w:pPr>
      <w:r w:rsidRPr="009E727C">
        <w:rPr>
          <w:sz w:val="24"/>
          <w:lang w:val="en-GB"/>
        </w:rPr>
        <w:t>The Council’s full annual report has complied with NZ GAAP and stated explicitly that it complies with Public Benefit Entity (PBE) Standards for Tier 1 entities. The summary annual report complies with PBE FRS 43 – Summary Financial Statements and PBE Standards as they relate to summary financial statements.</w:t>
      </w:r>
    </w:p>
    <w:p w14:paraId="1EBA4BDF" w14:textId="77777777" w:rsidR="009E727C" w:rsidRPr="009E727C" w:rsidRDefault="009E727C" w:rsidP="009E727C">
      <w:pPr>
        <w:rPr>
          <w:sz w:val="24"/>
          <w:lang w:val="en-GB"/>
        </w:rPr>
      </w:pPr>
      <w:r w:rsidRPr="009E727C">
        <w:rPr>
          <w:sz w:val="24"/>
          <w:lang w:val="en-GB"/>
        </w:rPr>
        <w:t xml:space="preserve">The full financial statements have been prepared in accordance with New Zealand Generally Accepted Accounting Practice, </w:t>
      </w:r>
    </w:p>
    <w:p w14:paraId="6BFD783C" w14:textId="77777777" w:rsidR="009E727C" w:rsidRPr="009E727C" w:rsidRDefault="009E727C" w:rsidP="009E727C">
      <w:pPr>
        <w:rPr>
          <w:sz w:val="24"/>
          <w:lang w:val="en-GB"/>
        </w:rPr>
      </w:pPr>
      <w:r w:rsidRPr="009E727C">
        <w:rPr>
          <w:sz w:val="24"/>
          <w:lang w:val="en-GB"/>
        </w:rPr>
        <w:t>PBE Accounting Standards and other applicable financial reporting standards, as appropriate for public benefit entities.</w:t>
      </w:r>
    </w:p>
    <w:p w14:paraId="75FA87E9" w14:textId="77777777" w:rsidR="009E727C" w:rsidRPr="009E727C" w:rsidRDefault="009E727C" w:rsidP="009E727C">
      <w:pPr>
        <w:rPr>
          <w:sz w:val="24"/>
          <w:lang w:val="en-GB"/>
        </w:rPr>
      </w:pPr>
      <w:r w:rsidRPr="009E727C">
        <w:rPr>
          <w:sz w:val="24"/>
          <w:lang w:val="en-GB"/>
        </w:rPr>
        <w:t xml:space="preserve">The 2024-2025 Annual Report has been audited and gained an unmodified opinion, which means the report has met the requirements of the Local Government Act 2002. </w:t>
      </w:r>
    </w:p>
    <w:p w14:paraId="273CE810" w14:textId="77777777" w:rsidR="009E727C" w:rsidRPr="009E727C" w:rsidRDefault="009E727C" w:rsidP="009E727C">
      <w:pPr>
        <w:rPr>
          <w:sz w:val="24"/>
          <w:lang w:val="en-GB"/>
        </w:rPr>
      </w:pPr>
      <w:r w:rsidRPr="009E727C">
        <w:rPr>
          <w:sz w:val="24"/>
          <w:lang w:val="en-GB"/>
        </w:rPr>
        <w:t xml:space="preserve">This summary annual report has been examined by audit for consistency with the full annual report. The auditor’s report is included with this summary. </w:t>
      </w:r>
    </w:p>
    <w:p w14:paraId="669F6F5F" w14:textId="77777777" w:rsidR="009E727C" w:rsidRPr="009E727C" w:rsidRDefault="009E727C" w:rsidP="009E727C">
      <w:pPr>
        <w:rPr>
          <w:sz w:val="24"/>
          <w:lang w:val="en-GB"/>
        </w:rPr>
      </w:pPr>
      <w:r w:rsidRPr="009E727C">
        <w:rPr>
          <w:sz w:val="24"/>
          <w:lang w:val="en-GB"/>
        </w:rPr>
        <w:t xml:space="preserve">The Annual Report 2024-2025 and Summary Annual Report 2024-2025 were authorised for issue by the Council on 9 of October 2025. The Annual Report 2024-2025 can be found on the Queenstown Lakes District Council website. </w:t>
      </w:r>
    </w:p>
    <w:p w14:paraId="0D808D3F" w14:textId="77777777" w:rsidR="009E727C" w:rsidRPr="009E727C" w:rsidRDefault="009E727C" w:rsidP="009E727C">
      <w:pPr>
        <w:pStyle w:val="Heading3"/>
      </w:pPr>
      <w:bookmarkStart w:id="63" w:name="_Toc211422675"/>
      <w:r w:rsidRPr="009E727C">
        <w:t>Subsequent events</w:t>
      </w:r>
      <w:bookmarkEnd w:id="63"/>
      <w:r w:rsidRPr="009E727C">
        <w:t xml:space="preserve"> </w:t>
      </w:r>
    </w:p>
    <w:p w14:paraId="17B7556C" w14:textId="77777777" w:rsidR="009E727C" w:rsidRPr="009E727C" w:rsidRDefault="009E727C" w:rsidP="009E727C">
      <w:pPr>
        <w:pStyle w:val="Heading4"/>
        <w:rPr>
          <w:lang w:val="en-GB"/>
        </w:rPr>
      </w:pPr>
      <w:r w:rsidRPr="009E727C">
        <w:rPr>
          <w:lang w:val="en-GB"/>
        </w:rPr>
        <w:t>Queenstown Airport Corporation Ltd (QAC)</w:t>
      </w:r>
    </w:p>
    <w:p w14:paraId="6F54D82A" w14:textId="77777777" w:rsidR="009E727C" w:rsidRPr="009E727C" w:rsidRDefault="009E727C" w:rsidP="009E727C">
      <w:pPr>
        <w:rPr>
          <w:sz w:val="24"/>
          <w:lang w:val="en-GB"/>
        </w:rPr>
      </w:pPr>
      <w:r w:rsidRPr="009E727C">
        <w:rPr>
          <w:sz w:val="24"/>
          <w:lang w:val="en-GB"/>
        </w:rPr>
        <w:t>On 19 of August the 2025 QAC directors declared a fully imputed dividend of $18,737,000 in respect of the year ended 30 June 2025 (2024: $14,241,000).</w:t>
      </w:r>
    </w:p>
    <w:p w14:paraId="24F5AB7C" w14:textId="77777777" w:rsidR="009E727C" w:rsidRPr="009E727C" w:rsidRDefault="009E727C" w:rsidP="009E727C">
      <w:pPr>
        <w:pStyle w:val="Heading4"/>
        <w:rPr>
          <w:lang w:val="en-GB"/>
        </w:rPr>
      </w:pPr>
      <w:r w:rsidRPr="009E727C">
        <w:rPr>
          <w:lang w:val="en-GB"/>
        </w:rPr>
        <w:t>Legislative Reform – Resource Management Act</w:t>
      </w:r>
    </w:p>
    <w:p w14:paraId="7FC080FF" w14:textId="77777777" w:rsidR="009E727C" w:rsidRPr="009E727C" w:rsidRDefault="009E727C" w:rsidP="009E727C">
      <w:pPr>
        <w:rPr>
          <w:sz w:val="24"/>
          <w:lang w:val="en-GB"/>
        </w:rPr>
      </w:pPr>
      <w:r w:rsidRPr="009E727C">
        <w:rPr>
          <w:sz w:val="24"/>
          <w:lang w:val="en-GB"/>
        </w:rPr>
        <w:t>The Government enacted changes to the Resource Management framework, including a freeze on new plan changes and the introduction of standardised zoning under the new Planning and Natural Environment Acts. These changes may affect Council’s consenting and spatial planning processes.</w:t>
      </w:r>
    </w:p>
    <w:p w14:paraId="00D26610" w14:textId="6E2DAA53" w:rsidR="009E727C" w:rsidRPr="009E727C" w:rsidRDefault="009E727C" w:rsidP="009E727C">
      <w:pPr>
        <w:pStyle w:val="Heading4"/>
        <w:rPr>
          <w:lang w:val="en-GB"/>
        </w:rPr>
      </w:pPr>
      <w:r w:rsidRPr="009E727C">
        <w:rPr>
          <w:lang w:val="en-GB"/>
        </w:rPr>
        <w:t>Legislative Reform – Local Government Act</w:t>
      </w:r>
    </w:p>
    <w:p w14:paraId="22A235E7" w14:textId="77777777" w:rsidR="009E727C" w:rsidRPr="009E727C" w:rsidRDefault="009E727C" w:rsidP="009E727C">
      <w:pPr>
        <w:rPr>
          <w:sz w:val="24"/>
          <w:lang w:val="en-GB"/>
        </w:rPr>
      </w:pPr>
      <w:r w:rsidRPr="009E727C">
        <w:rPr>
          <w:sz w:val="24"/>
          <w:lang w:val="en-GB"/>
        </w:rPr>
        <w:t>The Local Government (System Improvements) Amendment Bill was introduced, proposing a redefinition of Council responsibilities into “core” and “non-core” services. This may influence future service delivery models and funding allocations.</w:t>
      </w:r>
    </w:p>
    <w:p w14:paraId="7FFFBC27" w14:textId="77AAA699" w:rsidR="009E727C" w:rsidRPr="009E727C" w:rsidRDefault="009E727C" w:rsidP="009E727C">
      <w:pPr>
        <w:pStyle w:val="Heading4"/>
        <w:rPr>
          <w:lang w:val="en-GB"/>
        </w:rPr>
      </w:pPr>
      <w:r w:rsidRPr="009E727C">
        <w:rPr>
          <w:lang w:val="en-GB"/>
        </w:rPr>
        <w:t xml:space="preserve">Ratepayer Assistance Scheme </w:t>
      </w:r>
    </w:p>
    <w:p w14:paraId="10E223B3" w14:textId="0C674E17" w:rsidR="009E727C" w:rsidRPr="009E727C" w:rsidRDefault="009E727C" w:rsidP="009E727C">
      <w:pPr>
        <w:pStyle w:val="ListParagraph"/>
        <w:numPr>
          <w:ilvl w:val="0"/>
          <w:numId w:val="34"/>
        </w:numPr>
        <w:rPr>
          <w:sz w:val="24"/>
          <w:lang w:val="en-GB"/>
        </w:rPr>
      </w:pPr>
      <w:r w:rsidRPr="009E727C">
        <w:rPr>
          <w:sz w:val="24"/>
          <w:lang w:val="en-GB"/>
        </w:rPr>
        <w:t>Council endorsed participation in the Ratepayer Assistance Scheme, a multi-agency initiative aimed at improving affordability for ratepayers. QLDC committed up to $250,000 toward scheme development, which will offer deferred payment options for rates and development contributions.</w:t>
      </w:r>
    </w:p>
    <w:p w14:paraId="4E80437F" w14:textId="5D0FDEC0" w:rsidR="009E727C" w:rsidRPr="009E727C" w:rsidRDefault="009E727C" w:rsidP="009E727C">
      <w:pPr>
        <w:pStyle w:val="ListParagraph"/>
        <w:numPr>
          <w:ilvl w:val="0"/>
          <w:numId w:val="34"/>
        </w:numPr>
        <w:rPr>
          <w:sz w:val="24"/>
          <w:lang w:val="en-GB"/>
        </w:rPr>
      </w:pPr>
      <w:r w:rsidRPr="009E727C">
        <w:rPr>
          <w:sz w:val="24"/>
          <w:lang w:val="en-GB"/>
        </w:rPr>
        <w:t>Eight councils (Auckland, Hamilton, Tauranga, New Plymouth, Palmerston North, Hutt City, Wellington and Queenstown Lakes) and EECA have committed funding - $3.35m in total, so “oversubscribed” relative to the $2.5m sought.</w:t>
      </w:r>
    </w:p>
    <w:p w14:paraId="29AA4531" w14:textId="5E305D06" w:rsidR="009E727C" w:rsidRPr="009E727C" w:rsidRDefault="009E727C" w:rsidP="009E727C">
      <w:pPr>
        <w:pStyle w:val="ListParagraph"/>
        <w:numPr>
          <w:ilvl w:val="0"/>
          <w:numId w:val="34"/>
        </w:numPr>
        <w:rPr>
          <w:sz w:val="24"/>
          <w:lang w:val="en-GB"/>
        </w:rPr>
      </w:pPr>
      <w:r w:rsidRPr="009E727C">
        <w:rPr>
          <w:sz w:val="24"/>
          <w:lang w:val="en-GB"/>
        </w:rPr>
        <w:t>With the funding now committed, advisors are being engaged (Cameron Partners - lead / financial; PwC - accounting and tax; Simpson Grierson - legal and PwC - IT) and work has commenced in earnest.</w:t>
      </w:r>
    </w:p>
    <w:p w14:paraId="042D2B6A" w14:textId="5329F02A" w:rsidR="009E727C" w:rsidRPr="009E727C" w:rsidRDefault="009E727C" w:rsidP="009E727C">
      <w:pPr>
        <w:pStyle w:val="ListParagraph"/>
        <w:numPr>
          <w:ilvl w:val="0"/>
          <w:numId w:val="34"/>
        </w:numPr>
        <w:rPr>
          <w:sz w:val="24"/>
          <w:lang w:val="en-GB"/>
        </w:rPr>
      </w:pPr>
      <w:r w:rsidRPr="009E727C">
        <w:rPr>
          <w:sz w:val="24"/>
          <w:lang w:val="en-GB"/>
        </w:rPr>
        <w:t xml:space="preserve">A Steering Group has been formed comprising the eight funding councils, EECA, LGNZ, LGFA and Rewiring Aotearoa. The Steering Group is providing guidance and is the ultimate </w:t>
      </w:r>
      <w:proofErr w:type="gramStart"/>
      <w:r w:rsidRPr="009E727C">
        <w:rPr>
          <w:sz w:val="24"/>
          <w:lang w:val="en-GB"/>
        </w:rPr>
        <w:t>decision making</w:t>
      </w:r>
      <w:proofErr w:type="gramEnd"/>
      <w:r w:rsidRPr="009E727C">
        <w:rPr>
          <w:sz w:val="24"/>
          <w:lang w:val="en-GB"/>
        </w:rPr>
        <w:t xml:space="preserve"> body. </w:t>
      </w:r>
    </w:p>
    <w:p w14:paraId="53E74757" w14:textId="51FD359D" w:rsidR="009E727C" w:rsidRPr="009E727C" w:rsidRDefault="009E727C" w:rsidP="009E727C">
      <w:pPr>
        <w:pStyle w:val="ListParagraph"/>
        <w:numPr>
          <w:ilvl w:val="0"/>
          <w:numId w:val="34"/>
        </w:numPr>
        <w:rPr>
          <w:sz w:val="24"/>
          <w:lang w:val="en-GB"/>
        </w:rPr>
      </w:pPr>
      <w:r w:rsidRPr="009E727C">
        <w:rPr>
          <w:sz w:val="24"/>
          <w:lang w:val="en-GB"/>
        </w:rPr>
        <w:t xml:space="preserve">A sub-group of the Steering Group, the Working Group has delegated authority to manage the process on a day-to-day basis. </w:t>
      </w:r>
    </w:p>
    <w:p w14:paraId="6AA8B988" w14:textId="12648506" w:rsidR="009E727C" w:rsidRPr="009E727C" w:rsidRDefault="009E727C" w:rsidP="009E727C">
      <w:pPr>
        <w:pStyle w:val="ListParagraph"/>
        <w:numPr>
          <w:ilvl w:val="0"/>
          <w:numId w:val="34"/>
        </w:numPr>
        <w:rPr>
          <w:sz w:val="24"/>
          <w:lang w:val="en-GB"/>
        </w:rPr>
      </w:pPr>
      <w:r w:rsidRPr="009E727C">
        <w:rPr>
          <w:sz w:val="24"/>
          <w:lang w:val="en-GB"/>
        </w:rPr>
        <w:t xml:space="preserve">Eleven key workstreams have been identified and members of the Steering Group are responsible for each workstream. </w:t>
      </w:r>
    </w:p>
    <w:p w14:paraId="65E289F2" w14:textId="7F6EF493" w:rsidR="009E727C" w:rsidRPr="009E727C" w:rsidRDefault="009E727C" w:rsidP="009E727C">
      <w:pPr>
        <w:pStyle w:val="ListParagraph"/>
        <w:numPr>
          <w:ilvl w:val="0"/>
          <w:numId w:val="34"/>
        </w:numPr>
        <w:rPr>
          <w:sz w:val="24"/>
          <w:lang w:val="en-GB"/>
        </w:rPr>
      </w:pPr>
      <w:r w:rsidRPr="009E727C">
        <w:rPr>
          <w:sz w:val="24"/>
          <w:lang w:val="en-GB"/>
        </w:rPr>
        <w:t>There is good engagement with officials – particularly DIA.</w:t>
      </w:r>
    </w:p>
    <w:p w14:paraId="3BD611D6" w14:textId="4664E929" w:rsidR="009E727C" w:rsidRPr="009E727C" w:rsidRDefault="009E727C" w:rsidP="00E830F0">
      <w:pPr>
        <w:pStyle w:val="ListParagraph"/>
        <w:numPr>
          <w:ilvl w:val="0"/>
          <w:numId w:val="34"/>
        </w:numPr>
        <w:rPr>
          <w:sz w:val="24"/>
          <w:lang w:val="en-GB"/>
        </w:rPr>
      </w:pPr>
      <w:r w:rsidRPr="009E727C">
        <w:rPr>
          <w:sz w:val="24"/>
          <w:lang w:val="en-GB"/>
        </w:rPr>
        <w:t>The intention is to be in a position for stakeholders to make a “stop / go” decision before the end of the year.</w:t>
      </w:r>
    </w:p>
    <w:p w14:paraId="1E771A62" w14:textId="77777777" w:rsidR="009E727C" w:rsidRPr="009E727C" w:rsidRDefault="009E727C" w:rsidP="009E727C">
      <w:pPr>
        <w:pStyle w:val="Heading4"/>
        <w:rPr>
          <w:lang w:val="en-GB"/>
        </w:rPr>
      </w:pPr>
      <w:bookmarkStart w:id="64" w:name="_Ref211422486"/>
      <w:r w:rsidRPr="009E727C">
        <w:rPr>
          <w:lang w:val="en-GB"/>
        </w:rPr>
        <w:t>Water Services Transition</w:t>
      </w:r>
      <w:bookmarkEnd w:id="64"/>
      <w:r w:rsidRPr="009E727C">
        <w:rPr>
          <w:lang w:val="en-GB"/>
        </w:rPr>
        <w:t xml:space="preserve"> </w:t>
      </w:r>
    </w:p>
    <w:p w14:paraId="5A3BDAB2" w14:textId="331F6A3C" w:rsidR="009E727C" w:rsidRPr="009E727C" w:rsidRDefault="009E727C" w:rsidP="009E727C">
      <w:pPr>
        <w:pStyle w:val="ListParagraph"/>
        <w:numPr>
          <w:ilvl w:val="0"/>
          <w:numId w:val="35"/>
        </w:numPr>
        <w:rPr>
          <w:sz w:val="24"/>
          <w:lang w:val="en-GB"/>
        </w:rPr>
      </w:pPr>
      <w:r w:rsidRPr="009E727C">
        <w:rPr>
          <w:sz w:val="24"/>
          <w:lang w:val="en-GB"/>
        </w:rPr>
        <w:t xml:space="preserve">The Local Government (Water Services Preliminary Arrangements) Act 2024 (WSPA Act) is the first legislation to support Local Water Done Well and was enacted in September 2024. The WSPA Act required Council to submit a water services plan to the Secretary for Local Government by 3 September 2025. The water services plan must include the proposed model for delivering water services, and an implementation plan for delivering the proposed model. </w:t>
      </w:r>
    </w:p>
    <w:p w14:paraId="4541C83D" w14:textId="25A4CB5E" w:rsidR="009E727C" w:rsidRPr="009E727C" w:rsidRDefault="009E727C" w:rsidP="009E727C">
      <w:pPr>
        <w:pStyle w:val="ListParagraph"/>
        <w:numPr>
          <w:ilvl w:val="0"/>
          <w:numId w:val="35"/>
        </w:numPr>
        <w:rPr>
          <w:sz w:val="24"/>
          <w:lang w:val="en-GB"/>
        </w:rPr>
      </w:pPr>
      <w:r w:rsidRPr="009E727C">
        <w:rPr>
          <w:sz w:val="24"/>
          <w:lang w:val="en-GB"/>
        </w:rPr>
        <w:t xml:space="preserve">The Secretary for Local Government will accept a water services delivery plan only if satisfied that the plan complies with the WSPA Act. If the Secretary for Local Government is not satisfied that a water services delivery plan complies with the requirements in the WSPA Act, the Secretary for Local Government will require a territorial authority to amend and resubmit the plan or decide not to accept the plan. A territorial authority must give effect to the proposals or undertakings relating to the future delivery of water services that are specified in the water services delivery plan. </w:t>
      </w:r>
    </w:p>
    <w:p w14:paraId="07ABA361" w14:textId="169B25FC" w:rsidR="009E727C" w:rsidRPr="009E727C" w:rsidRDefault="009E727C" w:rsidP="009E727C">
      <w:pPr>
        <w:pStyle w:val="ListParagraph"/>
        <w:numPr>
          <w:ilvl w:val="0"/>
          <w:numId w:val="35"/>
        </w:numPr>
        <w:rPr>
          <w:sz w:val="24"/>
          <w:lang w:val="en-GB"/>
        </w:rPr>
      </w:pPr>
      <w:r w:rsidRPr="009E727C">
        <w:rPr>
          <w:sz w:val="24"/>
          <w:lang w:val="en-GB"/>
        </w:rPr>
        <w:t xml:space="preserve">On 31 July 2025 QLDC approved its proposal to establish a Water Services Council Controlled Organisation (WSCCO) owned 100% by the Council to deliver water services in the district. Under the proposed WSCCO, responsibility for the district’s water services, along with ownership of QLDC’s water assets and associated debts and liabilities will be transferred to the WSCCO once established. The WSCCO will be responsible for planning, funding, and delivering water services in accordance with new legislative and regulatory requirements. </w:t>
      </w:r>
    </w:p>
    <w:p w14:paraId="5EA78432" w14:textId="0F874BC1" w:rsidR="009E727C" w:rsidRPr="009E727C" w:rsidRDefault="009E727C" w:rsidP="009E727C">
      <w:pPr>
        <w:pStyle w:val="ListParagraph"/>
        <w:numPr>
          <w:ilvl w:val="0"/>
          <w:numId w:val="35"/>
        </w:numPr>
        <w:rPr>
          <w:sz w:val="24"/>
          <w:lang w:val="en-GB"/>
        </w:rPr>
      </w:pPr>
      <w:r w:rsidRPr="009E727C">
        <w:rPr>
          <w:sz w:val="24"/>
          <w:lang w:val="en-GB"/>
        </w:rPr>
        <w:t xml:space="preserve">As at the date of approving these financial statements, the Secretary of Local Government has not yet accepted Council’s Water Service Delivery Plan (WSDP). The approval date of the proposed WSDP remains uncertain. It should be noted that the submitted WSDP did met the Department of Internal affairs (DIA) financial sustainability </w:t>
      </w:r>
      <w:proofErr w:type="gramStart"/>
      <w:r w:rsidRPr="009E727C">
        <w:rPr>
          <w:sz w:val="24"/>
          <w:lang w:val="en-GB"/>
        </w:rPr>
        <w:t>requirements .</w:t>
      </w:r>
      <w:proofErr w:type="gramEnd"/>
      <w:r w:rsidRPr="009E727C">
        <w:rPr>
          <w:sz w:val="24"/>
          <w:lang w:val="en-GB"/>
        </w:rPr>
        <w:t xml:space="preserve"> If approved, the WSCCO is expected to be implemented and operational at the latest 1 July 2027. </w:t>
      </w:r>
    </w:p>
    <w:p w14:paraId="5B8768B3" w14:textId="43E29795" w:rsidR="009E727C" w:rsidRPr="009E727C" w:rsidRDefault="009E727C" w:rsidP="009E727C">
      <w:pPr>
        <w:pStyle w:val="ListParagraph"/>
        <w:numPr>
          <w:ilvl w:val="0"/>
          <w:numId w:val="35"/>
        </w:numPr>
        <w:rPr>
          <w:sz w:val="24"/>
          <w:lang w:val="en-GB"/>
        </w:rPr>
      </w:pPr>
      <w:r w:rsidRPr="009E727C">
        <w:rPr>
          <w:sz w:val="24"/>
          <w:lang w:val="en-GB"/>
        </w:rPr>
        <w:t>Estimating the financial effect of the decision to deliver water services differently at this stage cannot be determined and remains uncertain as approval of the WSP by the Secretary of Local Government has not been obtained.</w:t>
      </w:r>
    </w:p>
    <w:p w14:paraId="74C88280" w14:textId="77777777" w:rsidR="009E727C" w:rsidRPr="009E727C" w:rsidRDefault="009E727C" w:rsidP="009E727C">
      <w:pPr>
        <w:pStyle w:val="Heading4"/>
        <w:rPr>
          <w:lang w:val="en-GB"/>
        </w:rPr>
      </w:pPr>
      <w:r w:rsidRPr="009E727C">
        <w:rPr>
          <w:lang w:val="en-GB"/>
        </w:rPr>
        <w:t>Chief Executive Resignation</w:t>
      </w:r>
    </w:p>
    <w:p w14:paraId="4B4362C8" w14:textId="77777777" w:rsidR="009E727C" w:rsidRPr="009E727C" w:rsidRDefault="009E727C" w:rsidP="009E727C">
      <w:pPr>
        <w:rPr>
          <w:sz w:val="24"/>
          <w:lang w:val="en-GB"/>
        </w:rPr>
      </w:pPr>
      <w:r w:rsidRPr="009E727C">
        <w:rPr>
          <w:sz w:val="24"/>
          <w:lang w:val="en-GB"/>
        </w:rPr>
        <w:t xml:space="preserve">Chief Executive Mike Theelen formally advised Council of his resignation, effective February 2026. Recruitment for a new Chief Executive will commence in the 2025/26 financial year. Council acknowledges Mr. </w:t>
      </w:r>
      <w:proofErr w:type="spellStart"/>
      <w:r w:rsidRPr="009E727C">
        <w:rPr>
          <w:sz w:val="24"/>
          <w:lang w:val="en-GB"/>
        </w:rPr>
        <w:t>Theelen’s</w:t>
      </w:r>
      <w:proofErr w:type="spellEnd"/>
      <w:r w:rsidRPr="009E727C">
        <w:rPr>
          <w:sz w:val="24"/>
          <w:lang w:val="en-GB"/>
        </w:rPr>
        <w:t xml:space="preserve"> leadership and contributions over his tenure.</w:t>
      </w:r>
    </w:p>
    <w:p w14:paraId="73317D47" w14:textId="77777777" w:rsidR="009E727C" w:rsidRPr="009E727C" w:rsidRDefault="009E727C" w:rsidP="009E727C">
      <w:pPr>
        <w:pStyle w:val="Heading4"/>
        <w:rPr>
          <w:lang w:val="en-GB"/>
        </w:rPr>
      </w:pPr>
      <w:bookmarkStart w:id="65" w:name="_Ref211422053"/>
      <w:r w:rsidRPr="009E727C">
        <w:rPr>
          <w:lang w:val="en-GB"/>
        </w:rPr>
        <w:t>Prior Year Error Correction</w:t>
      </w:r>
      <w:bookmarkEnd w:id="65"/>
    </w:p>
    <w:p w14:paraId="4C9FF8D7" w14:textId="77777777" w:rsidR="009E727C" w:rsidRPr="009E727C" w:rsidRDefault="009E727C" w:rsidP="009E727C">
      <w:pPr>
        <w:rPr>
          <w:sz w:val="24"/>
          <w:lang w:val="en-GB"/>
        </w:rPr>
      </w:pPr>
      <w:r w:rsidRPr="009E727C">
        <w:rPr>
          <w:sz w:val="24"/>
          <w:lang w:val="en-GB"/>
        </w:rPr>
        <w:t>The Council (QLDC) and Group have adjusted its comparative year financial statements (for the year ended 30 June 2024) to correct a prior period error.</w:t>
      </w:r>
    </w:p>
    <w:p w14:paraId="301A2740" w14:textId="77777777" w:rsidR="009E727C" w:rsidRPr="009E727C" w:rsidRDefault="009E727C" w:rsidP="009E727C">
      <w:pPr>
        <w:rPr>
          <w:sz w:val="24"/>
          <w:lang w:val="en-GB"/>
        </w:rPr>
      </w:pPr>
      <w:r w:rsidRPr="009E727C">
        <w:rPr>
          <w:sz w:val="24"/>
          <w:lang w:val="en-GB"/>
        </w:rPr>
        <w:t>The Council has discovered that $11.99m of assets vested by 30 June 2023 had not yet been recognised as of that date in accordance with the Council’s accounting policy. Corresponding corrections were also made to the opening and closing accumulated funds of the 30 June 2024 comparative figures.</w:t>
      </w:r>
    </w:p>
    <w:p w14:paraId="6EFE41D1" w14:textId="288CD5C5" w:rsidR="009E727C" w:rsidRPr="009E727C" w:rsidRDefault="009E727C" w:rsidP="009E727C">
      <w:pPr>
        <w:rPr>
          <w:sz w:val="24"/>
          <w:lang w:val="en-GB"/>
        </w:rPr>
      </w:pPr>
      <w:r w:rsidRPr="009E727C">
        <w:rPr>
          <w:sz w:val="24"/>
          <w:lang w:val="en-GB"/>
        </w:rPr>
        <w:t>The Council has discovered that $13.26m of assets vested by 30 June 2024 had not yet been recognised as of that date in accordance with the Council’s accounting policy. Corresponding corrections were also made to the vested assets revenue of the 30 June 2024 comparative figures.</w:t>
      </w:r>
    </w:p>
    <w:p w14:paraId="2AFEEA04" w14:textId="27F00D96" w:rsidR="009E727C" w:rsidRDefault="009E727C" w:rsidP="009E727C">
      <w:pPr>
        <w:rPr>
          <w:sz w:val="24"/>
          <w:lang w:val="en-GB"/>
        </w:rPr>
      </w:pPr>
      <w:r w:rsidRPr="009E727C">
        <w:rPr>
          <w:sz w:val="24"/>
          <w:lang w:val="en-GB"/>
        </w:rPr>
        <w:t>The financial statements for 2024, which are presented as comparative information in the 30 June 2025 financial statements, have been restated to correct this error.</w:t>
      </w:r>
    </w:p>
    <w:p w14:paraId="54CB135F" w14:textId="77777777" w:rsidR="00EE1CBE" w:rsidRDefault="00EE1CBE" w:rsidP="009E727C">
      <w:pPr>
        <w:rPr>
          <w:sz w:val="24"/>
          <w:lang w:val="en-GB"/>
        </w:rPr>
      </w:pPr>
    </w:p>
    <w:tbl>
      <w:tblPr>
        <w:tblStyle w:val="TableGrid"/>
        <w:tblW w:w="9493" w:type="dxa"/>
        <w:tblLayout w:type="fixed"/>
        <w:tblCellMar>
          <w:top w:w="115" w:type="dxa"/>
          <w:bottom w:w="115" w:type="dxa"/>
        </w:tblCellMar>
        <w:tblLook w:val="04A0" w:firstRow="1" w:lastRow="0" w:firstColumn="1" w:lastColumn="0" w:noHBand="0" w:noVBand="1"/>
      </w:tblPr>
      <w:tblGrid>
        <w:gridCol w:w="2405"/>
        <w:gridCol w:w="1417"/>
        <w:gridCol w:w="1418"/>
        <w:gridCol w:w="1417"/>
        <w:gridCol w:w="1418"/>
        <w:gridCol w:w="1418"/>
      </w:tblGrid>
      <w:tr w:rsidR="000609BE" w:rsidRPr="00A0388A" w14:paraId="564A4B2B" w14:textId="41A4BE48" w:rsidTr="00780891">
        <w:trPr>
          <w:cantSplit/>
        </w:trPr>
        <w:tc>
          <w:tcPr>
            <w:tcW w:w="2405" w:type="dxa"/>
            <w:vMerge w:val="restart"/>
            <w:shd w:val="clear" w:color="auto" w:fill="BFBFBF" w:themeFill="background1" w:themeFillShade="BF"/>
          </w:tcPr>
          <w:p w14:paraId="5ECE13A6" w14:textId="02305CBC" w:rsidR="000609BE" w:rsidRPr="009512FB" w:rsidRDefault="000609BE" w:rsidP="00B738E2">
            <w:pPr>
              <w:rPr>
                <w:b/>
                <w:bCs/>
                <w:lang w:val="en-US"/>
              </w:rPr>
            </w:pPr>
          </w:p>
        </w:tc>
        <w:tc>
          <w:tcPr>
            <w:tcW w:w="2835" w:type="dxa"/>
            <w:gridSpan w:val="2"/>
            <w:shd w:val="clear" w:color="auto" w:fill="BFBFBF" w:themeFill="background1" w:themeFillShade="BF"/>
          </w:tcPr>
          <w:p w14:paraId="067F96C8" w14:textId="616587B2" w:rsidR="000609BE" w:rsidRPr="00BA5C93" w:rsidRDefault="000609BE" w:rsidP="009512FB">
            <w:pPr>
              <w:jc w:val="center"/>
            </w:pPr>
            <w:r w:rsidRPr="00BA5C93">
              <w:t>Before adjustment</w:t>
            </w:r>
          </w:p>
        </w:tc>
        <w:tc>
          <w:tcPr>
            <w:tcW w:w="1417" w:type="dxa"/>
            <w:shd w:val="clear" w:color="auto" w:fill="BFBFBF" w:themeFill="background1" w:themeFillShade="BF"/>
          </w:tcPr>
          <w:p w14:paraId="77107194" w14:textId="24C4F626" w:rsidR="000609BE" w:rsidRPr="00BA5C93" w:rsidRDefault="000609BE" w:rsidP="009512FB">
            <w:pPr>
              <w:jc w:val="center"/>
            </w:pPr>
            <w:r w:rsidRPr="00BA5C93">
              <w:t>Adjustment</w:t>
            </w:r>
          </w:p>
        </w:tc>
        <w:tc>
          <w:tcPr>
            <w:tcW w:w="2836" w:type="dxa"/>
            <w:gridSpan w:val="2"/>
            <w:shd w:val="clear" w:color="auto" w:fill="BFBFBF" w:themeFill="background1" w:themeFillShade="BF"/>
          </w:tcPr>
          <w:p w14:paraId="044C1A84" w14:textId="1F1C7E71" w:rsidR="000609BE" w:rsidRPr="00BA5C93" w:rsidRDefault="000609BE" w:rsidP="009512FB">
            <w:pPr>
              <w:jc w:val="center"/>
            </w:pPr>
            <w:r w:rsidRPr="00BA5C93">
              <w:t>After adjustment</w:t>
            </w:r>
          </w:p>
        </w:tc>
      </w:tr>
      <w:tr w:rsidR="000609BE" w:rsidRPr="00A0388A" w14:paraId="7FB47E63" w14:textId="77777777" w:rsidTr="000609BE">
        <w:trPr>
          <w:cantSplit/>
        </w:trPr>
        <w:tc>
          <w:tcPr>
            <w:tcW w:w="2405" w:type="dxa"/>
            <w:vMerge/>
            <w:shd w:val="clear" w:color="auto" w:fill="BFBFBF" w:themeFill="background1" w:themeFillShade="BF"/>
          </w:tcPr>
          <w:p w14:paraId="14EE1667" w14:textId="77777777" w:rsidR="000609BE" w:rsidRPr="009512FB" w:rsidRDefault="000609BE" w:rsidP="000609BE"/>
        </w:tc>
        <w:tc>
          <w:tcPr>
            <w:tcW w:w="1417" w:type="dxa"/>
            <w:shd w:val="clear" w:color="auto" w:fill="BFBFBF" w:themeFill="background1" w:themeFillShade="BF"/>
          </w:tcPr>
          <w:p w14:paraId="6A10785A" w14:textId="77777777" w:rsidR="000609BE" w:rsidRPr="00BA5C93" w:rsidRDefault="000609BE" w:rsidP="009512FB">
            <w:pPr>
              <w:jc w:val="center"/>
            </w:pPr>
            <w:r w:rsidRPr="00BA5C93">
              <w:t>Council</w:t>
            </w:r>
          </w:p>
          <w:p w14:paraId="0CDE1908" w14:textId="14E5F79B" w:rsidR="000609BE" w:rsidRPr="00BA5C93" w:rsidRDefault="000609BE" w:rsidP="009512FB">
            <w:pPr>
              <w:jc w:val="center"/>
            </w:pPr>
            <w:r w:rsidRPr="00BA5C93">
              <w:t>$’000</w:t>
            </w:r>
          </w:p>
        </w:tc>
        <w:tc>
          <w:tcPr>
            <w:tcW w:w="1418" w:type="dxa"/>
            <w:shd w:val="clear" w:color="auto" w:fill="BFBFBF" w:themeFill="background1" w:themeFillShade="BF"/>
          </w:tcPr>
          <w:p w14:paraId="0520A265" w14:textId="3C54AD4D" w:rsidR="000609BE" w:rsidRPr="00BA5C93" w:rsidRDefault="000609BE" w:rsidP="009512FB">
            <w:pPr>
              <w:jc w:val="center"/>
            </w:pPr>
            <w:r w:rsidRPr="00BA5C93">
              <w:t>Group</w:t>
            </w:r>
          </w:p>
          <w:p w14:paraId="3F72F071" w14:textId="5002AEAB" w:rsidR="000609BE" w:rsidRPr="00BA5C93" w:rsidRDefault="000609BE" w:rsidP="009512FB">
            <w:pPr>
              <w:jc w:val="center"/>
            </w:pPr>
            <w:r w:rsidRPr="00BA5C93">
              <w:t>$’000</w:t>
            </w:r>
          </w:p>
        </w:tc>
        <w:tc>
          <w:tcPr>
            <w:tcW w:w="1417" w:type="dxa"/>
            <w:shd w:val="clear" w:color="auto" w:fill="BFBFBF" w:themeFill="background1" w:themeFillShade="BF"/>
          </w:tcPr>
          <w:p w14:paraId="63F698D5" w14:textId="77777777" w:rsidR="000609BE" w:rsidRPr="00BA5C93" w:rsidRDefault="000609BE" w:rsidP="009512FB">
            <w:pPr>
              <w:jc w:val="center"/>
            </w:pPr>
            <w:r w:rsidRPr="00BA5C93">
              <w:t>Both</w:t>
            </w:r>
          </w:p>
          <w:p w14:paraId="377F0328" w14:textId="06520949" w:rsidR="000609BE" w:rsidRPr="00BA5C93" w:rsidRDefault="000609BE" w:rsidP="009512FB">
            <w:pPr>
              <w:jc w:val="center"/>
            </w:pPr>
            <w:r w:rsidRPr="00BA5C93">
              <w:t>$’000</w:t>
            </w:r>
          </w:p>
        </w:tc>
        <w:tc>
          <w:tcPr>
            <w:tcW w:w="1418" w:type="dxa"/>
            <w:shd w:val="clear" w:color="auto" w:fill="BFBFBF" w:themeFill="background1" w:themeFillShade="BF"/>
          </w:tcPr>
          <w:p w14:paraId="220FC0AF" w14:textId="77777777" w:rsidR="000609BE" w:rsidRPr="00BA5C93" w:rsidRDefault="000609BE" w:rsidP="009512FB">
            <w:pPr>
              <w:jc w:val="center"/>
            </w:pPr>
            <w:r w:rsidRPr="00BA5C93">
              <w:t>Council</w:t>
            </w:r>
          </w:p>
          <w:p w14:paraId="1EA8E2C9" w14:textId="515FAC60" w:rsidR="000609BE" w:rsidRPr="00BA5C93" w:rsidRDefault="000609BE" w:rsidP="009512FB">
            <w:pPr>
              <w:jc w:val="center"/>
            </w:pPr>
            <w:r w:rsidRPr="00BA5C93">
              <w:t>$’000</w:t>
            </w:r>
          </w:p>
        </w:tc>
        <w:tc>
          <w:tcPr>
            <w:tcW w:w="1418" w:type="dxa"/>
            <w:shd w:val="clear" w:color="auto" w:fill="BFBFBF" w:themeFill="background1" w:themeFillShade="BF"/>
          </w:tcPr>
          <w:p w14:paraId="5E64BE8F" w14:textId="17894761" w:rsidR="000609BE" w:rsidRPr="00BA5C93" w:rsidRDefault="000609BE" w:rsidP="009512FB">
            <w:pPr>
              <w:jc w:val="center"/>
            </w:pPr>
            <w:r w:rsidRPr="00BA5C93">
              <w:t>Group</w:t>
            </w:r>
          </w:p>
          <w:p w14:paraId="5010F6E9" w14:textId="59EF4C10" w:rsidR="000609BE" w:rsidRPr="00BA5C93" w:rsidRDefault="000609BE" w:rsidP="009512FB">
            <w:pPr>
              <w:jc w:val="center"/>
            </w:pPr>
            <w:r w:rsidRPr="00BA5C93">
              <w:t>$’000</w:t>
            </w:r>
          </w:p>
        </w:tc>
      </w:tr>
      <w:tr w:rsidR="000609BE" w:rsidRPr="00D75692" w14:paraId="31F323ED" w14:textId="0F1395C0" w:rsidTr="006C13A1">
        <w:trPr>
          <w:cantSplit/>
          <w:trHeight w:val="15"/>
        </w:trPr>
        <w:tc>
          <w:tcPr>
            <w:tcW w:w="9493" w:type="dxa"/>
            <w:gridSpan w:val="6"/>
            <w:shd w:val="clear" w:color="auto" w:fill="FFFFFF" w:themeFill="background1"/>
          </w:tcPr>
          <w:p w14:paraId="6E8F749C" w14:textId="1E4DD052" w:rsidR="000609BE" w:rsidRPr="009512FB" w:rsidRDefault="000609BE" w:rsidP="00B738E2">
            <w:pPr>
              <w:rPr>
                <w:b/>
                <w:bCs/>
                <w:lang w:val="en-GB"/>
              </w:rPr>
            </w:pPr>
            <w:r w:rsidRPr="000609BE">
              <w:rPr>
                <w:b/>
                <w:bCs/>
                <w:lang w:val="en-GB"/>
              </w:rPr>
              <w:t>Statement of Comprehensive Revenue and Expense</w:t>
            </w:r>
          </w:p>
        </w:tc>
      </w:tr>
      <w:tr w:rsidR="000609BE" w:rsidRPr="00D75692" w14:paraId="20375AF0" w14:textId="77777777" w:rsidTr="000609BE">
        <w:trPr>
          <w:cantSplit/>
          <w:trHeight w:val="15"/>
        </w:trPr>
        <w:tc>
          <w:tcPr>
            <w:tcW w:w="2405" w:type="dxa"/>
            <w:shd w:val="clear" w:color="auto" w:fill="FFFFFF" w:themeFill="background1"/>
          </w:tcPr>
          <w:p w14:paraId="182CB19F" w14:textId="08BA5E1F" w:rsidR="000609BE" w:rsidRPr="009512FB" w:rsidRDefault="000609BE" w:rsidP="000609BE">
            <w:pPr>
              <w:rPr>
                <w:rFonts w:cs="HelveticaNeueLT Std"/>
              </w:rPr>
            </w:pPr>
            <w:r w:rsidRPr="009512FB">
              <w:t>Total revenue</w:t>
            </w:r>
          </w:p>
        </w:tc>
        <w:tc>
          <w:tcPr>
            <w:tcW w:w="1417" w:type="dxa"/>
            <w:shd w:val="clear" w:color="auto" w:fill="FFFFFF" w:themeFill="background1"/>
          </w:tcPr>
          <w:p w14:paraId="05A6EFAA" w14:textId="70B982DB" w:rsidR="000609BE" w:rsidRPr="009512FB" w:rsidRDefault="000609BE" w:rsidP="009512FB">
            <w:pPr>
              <w:jc w:val="right"/>
              <w:rPr>
                <w:rFonts w:cs="HelveticaNeueLT Std"/>
              </w:rPr>
            </w:pPr>
            <w:r w:rsidRPr="009512FB">
              <w:t xml:space="preserve">  359,569</w:t>
            </w:r>
          </w:p>
        </w:tc>
        <w:tc>
          <w:tcPr>
            <w:tcW w:w="1418" w:type="dxa"/>
            <w:shd w:val="clear" w:color="auto" w:fill="FFFFFF" w:themeFill="background1"/>
          </w:tcPr>
          <w:p w14:paraId="70450A7F" w14:textId="17DE0339" w:rsidR="000609BE" w:rsidRPr="009512FB" w:rsidRDefault="000609BE" w:rsidP="009512FB">
            <w:pPr>
              <w:jc w:val="right"/>
            </w:pPr>
            <w:r w:rsidRPr="009512FB">
              <w:t xml:space="preserve">  411,806</w:t>
            </w:r>
          </w:p>
        </w:tc>
        <w:tc>
          <w:tcPr>
            <w:tcW w:w="1417" w:type="dxa"/>
            <w:shd w:val="clear" w:color="auto" w:fill="FFFFFF" w:themeFill="background1"/>
          </w:tcPr>
          <w:p w14:paraId="23B09DC1" w14:textId="3B2E5855" w:rsidR="000609BE" w:rsidRPr="009512FB" w:rsidRDefault="000609BE" w:rsidP="009512FB">
            <w:pPr>
              <w:jc w:val="right"/>
            </w:pPr>
            <w:r w:rsidRPr="009512FB">
              <w:t xml:space="preserve">  13,257</w:t>
            </w:r>
          </w:p>
        </w:tc>
        <w:tc>
          <w:tcPr>
            <w:tcW w:w="1418" w:type="dxa"/>
            <w:shd w:val="clear" w:color="auto" w:fill="FFFFFF" w:themeFill="background1"/>
          </w:tcPr>
          <w:p w14:paraId="49A0B314" w14:textId="7BFF7850" w:rsidR="000609BE" w:rsidRPr="009512FB" w:rsidRDefault="000609BE" w:rsidP="009512FB">
            <w:pPr>
              <w:jc w:val="right"/>
            </w:pPr>
            <w:r w:rsidRPr="009512FB">
              <w:t xml:space="preserve">  372,826</w:t>
            </w:r>
          </w:p>
        </w:tc>
        <w:tc>
          <w:tcPr>
            <w:tcW w:w="1418" w:type="dxa"/>
            <w:shd w:val="clear" w:color="auto" w:fill="FFFFFF" w:themeFill="background1"/>
          </w:tcPr>
          <w:p w14:paraId="3502E86C" w14:textId="12B78130" w:rsidR="000609BE" w:rsidRPr="009512FB" w:rsidRDefault="000609BE" w:rsidP="009512FB">
            <w:pPr>
              <w:jc w:val="right"/>
            </w:pPr>
            <w:r w:rsidRPr="009512FB">
              <w:t xml:space="preserve">  425,063</w:t>
            </w:r>
          </w:p>
        </w:tc>
      </w:tr>
      <w:tr w:rsidR="000609BE" w:rsidRPr="00D75692" w14:paraId="4A76C1D9" w14:textId="77777777" w:rsidTr="000609BE">
        <w:trPr>
          <w:cantSplit/>
          <w:trHeight w:val="15"/>
        </w:trPr>
        <w:tc>
          <w:tcPr>
            <w:tcW w:w="2405" w:type="dxa"/>
            <w:shd w:val="clear" w:color="auto" w:fill="FFFFFF" w:themeFill="background1"/>
          </w:tcPr>
          <w:p w14:paraId="201CEF90" w14:textId="24E3C61C" w:rsidR="000609BE" w:rsidRPr="009512FB" w:rsidRDefault="000609BE" w:rsidP="000609BE">
            <w:pPr>
              <w:rPr>
                <w:rFonts w:cs="HelveticaNeueLT Std"/>
              </w:rPr>
            </w:pPr>
            <w:r w:rsidRPr="009512FB">
              <w:lastRenderedPageBreak/>
              <w:t>Operating surplus</w:t>
            </w:r>
          </w:p>
        </w:tc>
        <w:tc>
          <w:tcPr>
            <w:tcW w:w="1417" w:type="dxa"/>
            <w:shd w:val="clear" w:color="auto" w:fill="FFFFFF" w:themeFill="background1"/>
          </w:tcPr>
          <w:p w14:paraId="111F32D8" w14:textId="5133F870" w:rsidR="000609BE" w:rsidRPr="009512FB" w:rsidRDefault="000609BE" w:rsidP="009512FB">
            <w:pPr>
              <w:jc w:val="right"/>
              <w:rPr>
                <w:rFonts w:cs="HelveticaNeueLT Std"/>
              </w:rPr>
            </w:pPr>
            <w:r w:rsidRPr="009512FB">
              <w:t xml:space="preserve">  82,150</w:t>
            </w:r>
          </w:p>
        </w:tc>
        <w:tc>
          <w:tcPr>
            <w:tcW w:w="1418" w:type="dxa"/>
            <w:shd w:val="clear" w:color="auto" w:fill="FFFFFF" w:themeFill="background1"/>
          </w:tcPr>
          <w:p w14:paraId="74EE3F8A" w14:textId="51CEB97A" w:rsidR="000609BE" w:rsidRPr="009512FB" w:rsidRDefault="000609BE" w:rsidP="009512FB">
            <w:pPr>
              <w:jc w:val="right"/>
            </w:pPr>
            <w:r w:rsidRPr="009512FB">
              <w:t xml:space="preserve">  87,485</w:t>
            </w:r>
          </w:p>
        </w:tc>
        <w:tc>
          <w:tcPr>
            <w:tcW w:w="1417" w:type="dxa"/>
            <w:shd w:val="clear" w:color="auto" w:fill="FFFFFF" w:themeFill="background1"/>
          </w:tcPr>
          <w:p w14:paraId="73087E60" w14:textId="02AE6088" w:rsidR="000609BE" w:rsidRPr="009512FB" w:rsidRDefault="000609BE" w:rsidP="009512FB">
            <w:pPr>
              <w:jc w:val="right"/>
            </w:pPr>
            <w:r w:rsidRPr="009512FB">
              <w:t xml:space="preserve">  13,257</w:t>
            </w:r>
          </w:p>
        </w:tc>
        <w:tc>
          <w:tcPr>
            <w:tcW w:w="1418" w:type="dxa"/>
            <w:shd w:val="clear" w:color="auto" w:fill="FFFFFF" w:themeFill="background1"/>
          </w:tcPr>
          <w:p w14:paraId="27E522C9" w14:textId="76B9E166" w:rsidR="000609BE" w:rsidRPr="009512FB" w:rsidRDefault="000609BE" w:rsidP="009512FB">
            <w:pPr>
              <w:jc w:val="right"/>
            </w:pPr>
            <w:r w:rsidRPr="009512FB">
              <w:t xml:space="preserve">  95,407</w:t>
            </w:r>
          </w:p>
        </w:tc>
        <w:tc>
          <w:tcPr>
            <w:tcW w:w="1418" w:type="dxa"/>
            <w:shd w:val="clear" w:color="auto" w:fill="FFFFFF" w:themeFill="background1"/>
          </w:tcPr>
          <w:p w14:paraId="1C7440E1" w14:textId="5408F566" w:rsidR="000609BE" w:rsidRPr="009512FB" w:rsidRDefault="000609BE" w:rsidP="009512FB">
            <w:pPr>
              <w:jc w:val="right"/>
            </w:pPr>
            <w:r w:rsidRPr="009512FB">
              <w:t xml:space="preserve">  100,742</w:t>
            </w:r>
          </w:p>
        </w:tc>
      </w:tr>
      <w:tr w:rsidR="000609BE" w:rsidRPr="00D75692" w14:paraId="20DEF4FC" w14:textId="77777777" w:rsidTr="000609BE">
        <w:trPr>
          <w:cantSplit/>
          <w:trHeight w:val="15"/>
        </w:trPr>
        <w:tc>
          <w:tcPr>
            <w:tcW w:w="2405" w:type="dxa"/>
            <w:shd w:val="clear" w:color="auto" w:fill="FFFFFF" w:themeFill="background1"/>
          </w:tcPr>
          <w:p w14:paraId="1B0F63B1" w14:textId="76BB37D2" w:rsidR="000609BE" w:rsidRPr="009512FB" w:rsidRDefault="000609BE" w:rsidP="000609BE">
            <w:pPr>
              <w:rPr>
                <w:rFonts w:cs="HelveticaNeueLT Std"/>
              </w:rPr>
            </w:pPr>
            <w:r w:rsidRPr="009512FB">
              <w:t>Total Comprehensive Revenue and Expense</w:t>
            </w:r>
          </w:p>
        </w:tc>
        <w:tc>
          <w:tcPr>
            <w:tcW w:w="1417" w:type="dxa"/>
            <w:shd w:val="clear" w:color="auto" w:fill="FFFFFF" w:themeFill="background1"/>
          </w:tcPr>
          <w:p w14:paraId="38704C93" w14:textId="07597777" w:rsidR="000609BE" w:rsidRPr="009512FB" w:rsidRDefault="000609BE" w:rsidP="009512FB">
            <w:pPr>
              <w:jc w:val="right"/>
              <w:rPr>
                <w:rFonts w:cs="HelveticaNeueLT Std"/>
              </w:rPr>
            </w:pPr>
            <w:r w:rsidRPr="009512FB">
              <w:t xml:space="preserve">  72,418</w:t>
            </w:r>
          </w:p>
        </w:tc>
        <w:tc>
          <w:tcPr>
            <w:tcW w:w="1418" w:type="dxa"/>
            <w:shd w:val="clear" w:color="auto" w:fill="FFFFFF" w:themeFill="background1"/>
          </w:tcPr>
          <w:p w14:paraId="473683FC" w14:textId="0E48D398" w:rsidR="000609BE" w:rsidRPr="009512FB" w:rsidRDefault="000609BE" w:rsidP="009512FB">
            <w:pPr>
              <w:jc w:val="right"/>
            </w:pPr>
            <w:r w:rsidRPr="009512FB">
              <w:t xml:space="preserve">  77,601</w:t>
            </w:r>
          </w:p>
        </w:tc>
        <w:tc>
          <w:tcPr>
            <w:tcW w:w="1417" w:type="dxa"/>
            <w:shd w:val="clear" w:color="auto" w:fill="FFFFFF" w:themeFill="background1"/>
          </w:tcPr>
          <w:p w14:paraId="1172398F" w14:textId="1AEA2D03" w:rsidR="000609BE" w:rsidRPr="009512FB" w:rsidRDefault="000609BE" w:rsidP="009512FB">
            <w:pPr>
              <w:jc w:val="right"/>
            </w:pPr>
            <w:r w:rsidRPr="009512FB">
              <w:t xml:space="preserve">  13,257</w:t>
            </w:r>
          </w:p>
        </w:tc>
        <w:tc>
          <w:tcPr>
            <w:tcW w:w="1418" w:type="dxa"/>
            <w:shd w:val="clear" w:color="auto" w:fill="FFFFFF" w:themeFill="background1"/>
          </w:tcPr>
          <w:p w14:paraId="6616E2B6" w14:textId="24CD87CF" w:rsidR="000609BE" w:rsidRPr="009512FB" w:rsidRDefault="000609BE" w:rsidP="009512FB">
            <w:pPr>
              <w:jc w:val="right"/>
            </w:pPr>
            <w:r w:rsidRPr="009512FB">
              <w:t xml:space="preserve">  85,675</w:t>
            </w:r>
          </w:p>
        </w:tc>
        <w:tc>
          <w:tcPr>
            <w:tcW w:w="1418" w:type="dxa"/>
            <w:shd w:val="clear" w:color="auto" w:fill="FFFFFF" w:themeFill="background1"/>
          </w:tcPr>
          <w:p w14:paraId="17045010" w14:textId="7BDFE11E" w:rsidR="000609BE" w:rsidRPr="009512FB" w:rsidRDefault="000609BE" w:rsidP="009512FB">
            <w:pPr>
              <w:jc w:val="right"/>
            </w:pPr>
            <w:r w:rsidRPr="009512FB">
              <w:t xml:space="preserve">  90,858</w:t>
            </w:r>
          </w:p>
        </w:tc>
      </w:tr>
      <w:tr w:rsidR="009512FB" w:rsidRPr="00D75692" w14:paraId="40344CF6" w14:textId="77777777" w:rsidTr="002B44A5">
        <w:trPr>
          <w:cantSplit/>
          <w:trHeight w:val="15"/>
        </w:trPr>
        <w:tc>
          <w:tcPr>
            <w:tcW w:w="9493" w:type="dxa"/>
            <w:gridSpan w:val="6"/>
            <w:shd w:val="clear" w:color="auto" w:fill="FFFFFF" w:themeFill="background1"/>
          </w:tcPr>
          <w:p w14:paraId="6A844332" w14:textId="674B000D" w:rsidR="009512FB" w:rsidRPr="009512FB" w:rsidRDefault="009512FB" w:rsidP="009512FB">
            <w:pPr>
              <w:rPr>
                <w:b/>
                <w:bCs/>
                <w:lang w:val="en-GB"/>
              </w:rPr>
            </w:pPr>
            <w:r w:rsidRPr="009512FB">
              <w:rPr>
                <w:b/>
                <w:bCs/>
                <w:lang w:val="en-GB"/>
              </w:rPr>
              <w:t>Statement of Changes in Equity</w:t>
            </w:r>
          </w:p>
        </w:tc>
      </w:tr>
      <w:tr w:rsidR="009512FB" w:rsidRPr="00D75692" w14:paraId="61B787E3" w14:textId="77777777" w:rsidTr="000609BE">
        <w:trPr>
          <w:cantSplit/>
          <w:trHeight w:val="15"/>
        </w:trPr>
        <w:tc>
          <w:tcPr>
            <w:tcW w:w="2405" w:type="dxa"/>
            <w:shd w:val="clear" w:color="auto" w:fill="FFFFFF" w:themeFill="background1"/>
          </w:tcPr>
          <w:p w14:paraId="53301E35" w14:textId="171D5F01" w:rsidR="009512FB" w:rsidRPr="009512FB" w:rsidRDefault="009512FB" w:rsidP="009512FB">
            <w:pPr>
              <w:rPr>
                <w:rFonts w:cs="HelveticaNeueLT Std"/>
              </w:rPr>
            </w:pPr>
            <w:r w:rsidRPr="009512FB">
              <w:t>Balance 1 July 2023</w:t>
            </w:r>
          </w:p>
        </w:tc>
        <w:tc>
          <w:tcPr>
            <w:tcW w:w="1417" w:type="dxa"/>
            <w:shd w:val="clear" w:color="auto" w:fill="FFFFFF" w:themeFill="background1"/>
          </w:tcPr>
          <w:p w14:paraId="7803B3CA" w14:textId="5CD26BC0" w:rsidR="009512FB" w:rsidRPr="009512FB" w:rsidRDefault="009512FB" w:rsidP="009512FB">
            <w:pPr>
              <w:jc w:val="right"/>
              <w:rPr>
                <w:rFonts w:cs="HelveticaNeueLT Std"/>
              </w:rPr>
            </w:pPr>
            <w:r w:rsidRPr="009512FB">
              <w:t xml:space="preserve">  2,439,193</w:t>
            </w:r>
          </w:p>
        </w:tc>
        <w:tc>
          <w:tcPr>
            <w:tcW w:w="1418" w:type="dxa"/>
            <w:shd w:val="clear" w:color="auto" w:fill="FFFFFF" w:themeFill="background1"/>
          </w:tcPr>
          <w:p w14:paraId="411532BC" w14:textId="0F7C7C0B" w:rsidR="009512FB" w:rsidRPr="009512FB" w:rsidRDefault="009512FB" w:rsidP="009512FB">
            <w:pPr>
              <w:jc w:val="right"/>
            </w:pPr>
            <w:r w:rsidRPr="009512FB">
              <w:t xml:space="preserve">  2,878,406</w:t>
            </w:r>
          </w:p>
        </w:tc>
        <w:tc>
          <w:tcPr>
            <w:tcW w:w="1417" w:type="dxa"/>
            <w:shd w:val="clear" w:color="auto" w:fill="FFFFFF" w:themeFill="background1"/>
          </w:tcPr>
          <w:p w14:paraId="654834EE" w14:textId="35AF7CED" w:rsidR="009512FB" w:rsidRPr="009512FB" w:rsidRDefault="009512FB" w:rsidP="009512FB">
            <w:pPr>
              <w:jc w:val="right"/>
            </w:pPr>
            <w:r w:rsidRPr="009512FB">
              <w:t xml:space="preserve">  11,986</w:t>
            </w:r>
          </w:p>
        </w:tc>
        <w:tc>
          <w:tcPr>
            <w:tcW w:w="1418" w:type="dxa"/>
            <w:shd w:val="clear" w:color="auto" w:fill="FFFFFF" w:themeFill="background1"/>
          </w:tcPr>
          <w:p w14:paraId="1E23781D" w14:textId="28585C27" w:rsidR="009512FB" w:rsidRPr="009512FB" w:rsidRDefault="009512FB" w:rsidP="009512FB">
            <w:pPr>
              <w:jc w:val="right"/>
            </w:pPr>
            <w:r w:rsidRPr="009512FB">
              <w:t xml:space="preserve">  2,451,179</w:t>
            </w:r>
          </w:p>
        </w:tc>
        <w:tc>
          <w:tcPr>
            <w:tcW w:w="1418" w:type="dxa"/>
            <w:shd w:val="clear" w:color="auto" w:fill="FFFFFF" w:themeFill="background1"/>
          </w:tcPr>
          <w:p w14:paraId="51C3A85B" w14:textId="60D405A7" w:rsidR="009512FB" w:rsidRPr="009512FB" w:rsidRDefault="009512FB" w:rsidP="009512FB">
            <w:pPr>
              <w:jc w:val="right"/>
            </w:pPr>
            <w:r w:rsidRPr="009512FB">
              <w:t xml:space="preserve">  2,890,392</w:t>
            </w:r>
          </w:p>
        </w:tc>
      </w:tr>
      <w:tr w:rsidR="009512FB" w:rsidRPr="00D75692" w14:paraId="0440F137" w14:textId="77777777" w:rsidTr="000609BE">
        <w:trPr>
          <w:cantSplit/>
          <w:trHeight w:val="15"/>
        </w:trPr>
        <w:tc>
          <w:tcPr>
            <w:tcW w:w="2405" w:type="dxa"/>
            <w:shd w:val="clear" w:color="auto" w:fill="FFFFFF" w:themeFill="background1"/>
          </w:tcPr>
          <w:p w14:paraId="02FD734C" w14:textId="40E9CE6E" w:rsidR="009512FB" w:rsidRPr="009512FB" w:rsidRDefault="009512FB" w:rsidP="009512FB">
            <w:pPr>
              <w:rPr>
                <w:rFonts w:cs="HelveticaNeueLT Std"/>
              </w:rPr>
            </w:pPr>
            <w:r w:rsidRPr="009512FB">
              <w:t>Total comprehensive revenue</w:t>
            </w:r>
          </w:p>
        </w:tc>
        <w:tc>
          <w:tcPr>
            <w:tcW w:w="1417" w:type="dxa"/>
            <w:shd w:val="clear" w:color="auto" w:fill="FFFFFF" w:themeFill="background1"/>
          </w:tcPr>
          <w:p w14:paraId="503CE713" w14:textId="64A127FA" w:rsidR="009512FB" w:rsidRPr="009512FB" w:rsidRDefault="009512FB" w:rsidP="009512FB">
            <w:pPr>
              <w:jc w:val="right"/>
              <w:rPr>
                <w:rFonts w:cs="HelveticaNeueLT Std"/>
              </w:rPr>
            </w:pPr>
            <w:r w:rsidRPr="009512FB">
              <w:t xml:space="preserve">  72,418</w:t>
            </w:r>
          </w:p>
        </w:tc>
        <w:tc>
          <w:tcPr>
            <w:tcW w:w="1418" w:type="dxa"/>
            <w:shd w:val="clear" w:color="auto" w:fill="FFFFFF" w:themeFill="background1"/>
          </w:tcPr>
          <w:p w14:paraId="4B79B426" w14:textId="15878FBE" w:rsidR="009512FB" w:rsidRPr="009512FB" w:rsidRDefault="009512FB" w:rsidP="009512FB">
            <w:pPr>
              <w:jc w:val="right"/>
            </w:pPr>
            <w:r w:rsidRPr="009512FB">
              <w:t xml:space="preserve">  77,601</w:t>
            </w:r>
          </w:p>
        </w:tc>
        <w:tc>
          <w:tcPr>
            <w:tcW w:w="1417" w:type="dxa"/>
            <w:shd w:val="clear" w:color="auto" w:fill="FFFFFF" w:themeFill="background1"/>
          </w:tcPr>
          <w:p w14:paraId="1700E408" w14:textId="0CA23169" w:rsidR="009512FB" w:rsidRPr="009512FB" w:rsidRDefault="009512FB" w:rsidP="009512FB">
            <w:pPr>
              <w:jc w:val="right"/>
            </w:pPr>
            <w:r w:rsidRPr="009512FB">
              <w:t xml:space="preserve">  13,257</w:t>
            </w:r>
          </w:p>
        </w:tc>
        <w:tc>
          <w:tcPr>
            <w:tcW w:w="1418" w:type="dxa"/>
            <w:shd w:val="clear" w:color="auto" w:fill="FFFFFF" w:themeFill="background1"/>
          </w:tcPr>
          <w:p w14:paraId="1838D2A9" w14:textId="454E4443" w:rsidR="009512FB" w:rsidRPr="009512FB" w:rsidRDefault="009512FB" w:rsidP="009512FB">
            <w:pPr>
              <w:jc w:val="right"/>
            </w:pPr>
            <w:r w:rsidRPr="009512FB">
              <w:t xml:space="preserve">  85,675</w:t>
            </w:r>
          </w:p>
        </w:tc>
        <w:tc>
          <w:tcPr>
            <w:tcW w:w="1418" w:type="dxa"/>
            <w:shd w:val="clear" w:color="auto" w:fill="FFFFFF" w:themeFill="background1"/>
          </w:tcPr>
          <w:p w14:paraId="56F6695F" w14:textId="669DA43E" w:rsidR="009512FB" w:rsidRPr="009512FB" w:rsidRDefault="009512FB" w:rsidP="009512FB">
            <w:pPr>
              <w:jc w:val="right"/>
            </w:pPr>
            <w:r w:rsidRPr="009512FB">
              <w:t xml:space="preserve">  90,858</w:t>
            </w:r>
          </w:p>
        </w:tc>
      </w:tr>
      <w:tr w:rsidR="009512FB" w:rsidRPr="00D75692" w14:paraId="7BB0302A" w14:textId="77777777" w:rsidTr="000609BE">
        <w:trPr>
          <w:cantSplit/>
          <w:trHeight w:val="15"/>
        </w:trPr>
        <w:tc>
          <w:tcPr>
            <w:tcW w:w="2405" w:type="dxa"/>
            <w:shd w:val="clear" w:color="auto" w:fill="FFFFFF" w:themeFill="background1"/>
          </w:tcPr>
          <w:p w14:paraId="566CD44F" w14:textId="48B2B990" w:rsidR="009512FB" w:rsidRPr="009512FB" w:rsidRDefault="009512FB" w:rsidP="009512FB">
            <w:pPr>
              <w:rPr>
                <w:rFonts w:cs="HelveticaNeueLT Std"/>
              </w:rPr>
            </w:pPr>
            <w:r w:rsidRPr="009512FB">
              <w:t>Balance 30 June 2024</w:t>
            </w:r>
          </w:p>
        </w:tc>
        <w:tc>
          <w:tcPr>
            <w:tcW w:w="1417" w:type="dxa"/>
            <w:shd w:val="clear" w:color="auto" w:fill="FFFFFF" w:themeFill="background1"/>
          </w:tcPr>
          <w:p w14:paraId="2819BF54" w14:textId="0B859764" w:rsidR="009512FB" w:rsidRPr="009512FB" w:rsidRDefault="009512FB" w:rsidP="009512FB">
            <w:pPr>
              <w:jc w:val="right"/>
              <w:rPr>
                <w:rFonts w:cs="HelveticaNeueLT Std"/>
              </w:rPr>
            </w:pPr>
            <w:r w:rsidRPr="009512FB">
              <w:t xml:space="preserve">  2,511,611</w:t>
            </w:r>
          </w:p>
        </w:tc>
        <w:tc>
          <w:tcPr>
            <w:tcW w:w="1418" w:type="dxa"/>
            <w:shd w:val="clear" w:color="auto" w:fill="FFFFFF" w:themeFill="background1"/>
          </w:tcPr>
          <w:p w14:paraId="7ECDD12E" w14:textId="1F0D9525" w:rsidR="009512FB" w:rsidRPr="009512FB" w:rsidRDefault="009512FB" w:rsidP="009512FB">
            <w:pPr>
              <w:jc w:val="right"/>
            </w:pPr>
            <w:r w:rsidRPr="009512FB">
              <w:t xml:space="preserve">  2,952,702</w:t>
            </w:r>
          </w:p>
        </w:tc>
        <w:tc>
          <w:tcPr>
            <w:tcW w:w="1417" w:type="dxa"/>
            <w:shd w:val="clear" w:color="auto" w:fill="FFFFFF" w:themeFill="background1"/>
          </w:tcPr>
          <w:p w14:paraId="38DEBF7B" w14:textId="671F80A9" w:rsidR="009512FB" w:rsidRPr="009512FB" w:rsidRDefault="009512FB" w:rsidP="009512FB">
            <w:pPr>
              <w:jc w:val="right"/>
            </w:pPr>
            <w:r w:rsidRPr="009512FB">
              <w:t xml:space="preserve">  25,243</w:t>
            </w:r>
          </w:p>
        </w:tc>
        <w:tc>
          <w:tcPr>
            <w:tcW w:w="1418" w:type="dxa"/>
            <w:shd w:val="clear" w:color="auto" w:fill="FFFFFF" w:themeFill="background1"/>
          </w:tcPr>
          <w:p w14:paraId="5464AF91" w14:textId="3E97B387" w:rsidR="009512FB" w:rsidRPr="009512FB" w:rsidRDefault="009512FB" w:rsidP="009512FB">
            <w:pPr>
              <w:jc w:val="right"/>
            </w:pPr>
            <w:r w:rsidRPr="009512FB">
              <w:t xml:space="preserve">  2,536,854</w:t>
            </w:r>
          </w:p>
        </w:tc>
        <w:tc>
          <w:tcPr>
            <w:tcW w:w="1418" w:type="dxa"/>
            <w:shd w:val="clear" w:color="auto" w:fill="FFFFFF" w:themeFill="background1"/>
          </w:tcPr>
          <w:p w14:paraId="35B03E5E" w14:textId="5CCF1D9B" w:rsidR="009512FB" w:rsidRPr="009512FB" w:rsidRDefault="009512FB" w:rsidP="009512FB">
            <w:pPr>
              <w:jc w:val="right"/>
            </w:pPr>
            <w:r w:rsidRPr="009512FB">
              <w:t xml:space="preserve">  2,977,945</w:t>
            </w:r>
          </w:p>
        </w:tc>
      </w:tr>
      <w:tr w:rsidR="009512FB" w:rsidRPr="00D75692" w14:paraId="2138B4B8" w14:textId="77777777" w:rsidTr="000609BE">
        <w:trPr>
          <w:cantSplit/>
          <w:trHeight w:val="15"/>
        </w:trPr>
        <w:tc>
          <w:tcPr>
            <w:tcW w:w="2405" w:type="dxa"/>
            <w:shd w:val="clear" w:color="auto" w:fill="FFFFFF" w:themeFill="background1"/>
          </w:tcPr>
          <w:p w14:paraId="190A76E1" w14:textId="10AF9BCD" w:rsidR="009512FB" w:rsidRPr="009512FB" w:rsidRDefault="009512FB" w:rsidP="009512FB">
            <w:pPr>
              <w:rPr>
                <w:rFonts w:cs="HelveticaNeueLT Std"/>
              </w:rPr>
            </w:pPr>
            <w:r w:rsidRPr="009512FB">
              <w:t>Accumulated funds</w:t>
            </w:r>
          </w:p>
        </w:tc>
        <w:tc>
          <w:tcPr>
            <w:tcW w:w="1417" w:type="dxa"/>
            <w:shd w:val="clear" w:color="auto" w:fill="FFFFFF" w:themeFill="background1"/>
          </w:tcPr>
          <w:p w14:paraId="417F4E02" w14:textId="3BF8CECE" w:rsidR="009512FB" w:rsidRPr="009512FB" w:rsidRDefault="009512FB" w:rsidP="009512FB">
            <w:pPr>
              <w:jc w:val="right"/>
              <w:rPr>
                <w:rFonts w:cs="HelveticaNeueLT Std"/>
              </w:rPr>
            </w:pPr>
            <w:r w:rsidRPr="009512FB">
              <w:t xml:space="preserve">  858,270</w:t>
            </w:r>
          </w:p>
        </w:tc>
        <w:tc>
          <w:tcPr>
            <w:tcW w:w="1418" w:type="dxa"/>
            <w:shd w:val="clear" w:color="auto" w:fill="FFFFFF" w:themeFill="background1"/>
          </w:tcPr>
          <w:p w14:paraId="4BE08C60" w14:textId="53228BAD" w:rsidR="009512FB" w:rsidRPr="009512FB" w:rsidRDefault="009512FB" w:rsidP="009512FB">
            <w:pPr>
              <w:jc w:val="right"/>
            </w:pPr>
            <w:r w:rsidRPr="009512FB">
              <w:t xml:space="preserve">  934,213</w:t>
            </w:r>
          </w:p>
        </w:tc>
        <w:tc>
          <w:tcPr>
            <w:tcW w:w="1417" w:type="dxa"/>
            <w:shd w:val="clear" w:color="auto" w:fill="FFFFFF" w:themeFill="background1"/>
          </w:tcPr>
          <w:p w14:paraId="00761D10" w14:textId="6F5559B1" w:rsidR="009512FB" w:rsidRPr="009512FB" w:rsidRDefault="009512FB" w:rsidP="009512FB">
            <w:pPr>
              <w:jc w:val="right"/>
            </w:pPr>
            <w:r w:rsidRPr="009512FB">
              <w:t xml:space="preserve">  25,243</w:t>
            </w:r>
          </w:p>
        </w:tc>
        <w:tc>
          <w:tcPr>
            <w:tcW w:w="1418" w:type="dxa"/>
            <w:shd w:val="clear" w:color="auto" w:fill="FFFFFF" w:themeFill="background1"/>
          </w:tcPr>
          <w:p w14:paraId="4E45AEA7" w14:textId="385EC015" w:rsidR="009512FB" w:rsidRPr="009512FB" w:rsidRDefault="009512FB" w:rsidP="009512FB">
            <w:pPr>
              <w:jc w:val="right"/>
            </w:pPr>
            <w:r w:rsidRPr="009512FB">
              <w:t xml:space="preserve">  883,513</w:t>
            </w:r>
          </w:p>
        </w:tc>
        <w:tc>
          <w:tcPr>
            <w:tcW w:w="1418" w:type="dxa"/>
            <w:shd w:val="clear" w:color="auto" w:fill="FFFFFF" w:themeFill="background1"/>
          </w:tcPr>
          <w:p w14:paraId="624A0D37" w14:textId="25FBA4F2" w:rsidR="009512FB" w:rsidRPr="009512FB" w:rsidRDefault="009512FB" w:rsidP="009512FB">
            <w:pPr>
              <w:jc w:val="right"/>
            </w:pPr>
            <w:r w:rsidRPr="009512FB">
              <w:t xml:space="preserve">  959,456</w:t>
            </w:r>
          </w:p>
        </w:tc>
      </w:tr>
      <w:tr w:rsidR="009512FB" w:rsidRPr="00D75692" w14:paraId="505146A5" w14:textId="77777777" w:rsidTr="000609BE">
        <w:trPr>
          <w:cantSplit/>
          <w:trHeight w:val="15"/>
        </w:trPr>
        <w:tc>
          <w:tcPr>
            <w:tcW w:w="2405" w:type="dxa"/>
            <w:shd w:val="clear" w:color="auto" w:fill="FFFFFF" w:themeFill="background1"/>
          </w:tcPr>
          <w:p w14:paraId="43AAA48A" w14:textId="41F39E0C" w:rsidR="009512FB" w:rsidRPr="009512FB" w:rsidRDefault="009512FB" w:rsidP="009512FB">
            <w:pPr>
              <w:rPr>
                <w:rFonts w:cs="HelveticaNeueLT Std"/>
              </w:rPr>
            </w:pPr>
            <w:r w:rsidRPr="009512FB">
              <w:t>Total equity</w:t>
            </w:r>
          </w:p>
        </w:tc>
        <w:tc>
          <w:tcPr>
            <w:tcW w:w="1417" w:type="dxa"/>
            <w:shd w:val="clear" w:color="auto" w:fill="FFFFFF" w:themeFill="background1"/>
          </w:tcPr>
          <w:p w14:paraId="0477177C" w14:textId="3A030CCC" w:rsidR="009512FB" w:rsidRPr="009512FB" w:rsidRDefault="009512FB" w:rsidP="009512FB">
            <w:pPr>
              <w:jc w:val="right"/>
              <w:rPr>
                <w:rFonts w:cs="HelveticaNeueLT Std"/>
              </w:rPr>
            </w:pPr>
            <w:r w:rsidRPr="009512FB">
              <w:t xml:space="preserve">  2,511,611</w:t>
            </w:r>
          </w:p>
        </w:tc>
        <w:tc>
          <w:tcPr>
            <w:tcW w:w="1418" w:type="dxa"/>
            <w:shd w:val="clear" w:color="auto" w:fill="FFFFFF" w:themeFill="background1"/>
          </w:tcPr>
          <w:p w14:paraId="67CC8FE4" w14:textId="220ED12B" w:rsidR="009512FB" w:rsidRPr="009512FB" w:rsidRDefault="009512FB" w:rsidP="009512FB">
            <w:pPr>
              <w:jc w:val="right"/>
            </w:pPr>
            <w:r w:rsidRPr="009512FB">
              <w:t xml:space="preserve">  2,952,702</w:t>
            </w:r>
          </w:p>
        </w:tc>
        <w:tc>
          <w:tcPr>
            <w:tcW w:w="1417" w:type="dxa"/>
            <w:shd w:val="clear" w:color="auto" w:fill="FFFFFF" w:themeFill="background1"/>
          </w:tcPr>
          <w:p w14:paraId="2DB8FF3D" w14:textId="2D7B170B" w:rsidR="009512FB" w:rsidRPr="009512FB" w:rsidRDefault="009512FB" w:rsidP="009512FB">
            <w:pPr>
              <w:jc w:val="right"/>
            </w:pPr>
            <w:r w:rsidRPr="009512FB">
              <w:t xml:space="preserve">  25,243</w:t>
            </w:r>
          </w:p>
        </w:tc>
        <w:tc>
          <w:tcPr>
            <w:tcW w:w="1418" w:type="dxa"/>
            <w:shd w:val="clear" w:color="auto" w:fill="FFFFFF" w:themeFill="background1"/>
          </w:tcPr>
          <w:p w14:paraId="2D247FBC" w14:textId="662FD237" w:rsidR="009512FB" w:rsidRPr="009512FB" w:rsidRDefault="009512FB" w:rsidP="009512FB">
            <w:pPr>
              <w:jc w:val="right"/>
            </w:pPr>
            <w:r w:rsidRPr="009512FB">
              <w:t xml:space="preserve">  2,536,854</w:t>
            </w:r>
          </w:p>
        </w:tc>
        <w:tc>
          <w:tcPr>
            <w:tcW w:w="1418" w:type="dxa"/>
            <w:shd w:val="clear" w:color="auto" w:fill="FFFFFF" w:themeFill="background1"/>
          </w:tcPr>
          <w:p w14:paraId="6C450817" w14:textId="53A08449" w:rsidR="009512FB" w:rsidRPr="009512FB" w:rsidRDefault="009512FB" w:rsidP="009512FB">
            <w:pPr>
              <w:jc w:val="right"/>
            </w:pPr>
            <w:r w:rsidRPr="009512FB">
              <w:t xml:space="preserve">  2,977,945</w:t>
            </w:r>
          </w:p>
        </w:tc>
      </w:tr>
      <w:tr w:rsidR="009512FB" w:rsidRPr="00D75692" w14:paraId="75BF32F6" w14:textId="77777777" w:rsidTr="00C821FE">
        <w:trPr>
          <w:cantSplit/>
          <w:trHeight w:val="15"/>
        </w:trPr>
        <w:tc>
          <w:tcPr>
            <w:tcW w:w="9493" w:type="dxa"/>
            <w:gridSpan w:val="6"/>
            <w:shd w:val="clear" w:color="auto" w:fill="FFFFFF" w:themeFill="background1"/>
          </w:tcPr>
          <w:p w14:paraId="3554B1E6" w14:textId="6C4B61C7" w:rsidR="009512FB" w:rsidRPr="009512FB" w:rsidRDefault="009512FB" w:rsidP="009512FB">
            <w:pPr>
              <w:rPr>
                <w:b/>
                <w:bCs/>
                <w:lang w:val="en-GB"/>
              </w:rPr>
            </w:pPr>
            <w:r w:rsidRPr="009512FB">
              <w:rPr>
                <w:b/>
                <w:bCs/>
                <w:lang w:val="en-GB"/>
              </w:rPr>
              <w:t>Statement of Financial Position</w:t>
            </w:r>
          </w:p>
        </w:tc>
      </w:tr>
      <w:tr w:rsidR="009512FB" w:rsidRPr="00D75692" w14:paraId="046B4712" w14:textId="77777777" w:rsidTr="000609BE">
        <w:trPr>
          <w:cantSplit/>
          <w:trHeight w:val="15"/>
        </w:trPr>
        <w:tc>
          <w:tcPr>
            <w:tcW w:w="2405" w:type="dxa"/>
            <w:shd w:val="clear" w:color="auto" w:fill="FFFFFF" w:themeFill="background1"/>
          </w:tcPr>
          <w:p w14:paraId="186A269D" w14:textId="3BA981F8" w:rsidR="009512FB" w:rsidRPr="009512FB" w:rsidRDefault="009512FB" w:rsidP="009512FB">
            <w:pPr>
              <w:rPr>
                <w:rFonts w:cs="HelveticaNeueLT Std"/>
              </w:rPr>
            </w:pPr>
            <w:r w:rsidRPr="009512FB">
              <w:t xml:space="preserve">Total </w:t>
            </w:r>
            <w:proofErr w:type="spellStart"/>
            <w:proofErr w:type="gramStart"/>
            <w:r w:rsidRPr="009512FB">
              <w:t>non current</w:t>
            </w:r>
            <w:proofErr w:type="spellEnd"/>
            <w:proofErr w:type="gramEnd"/>
            <w:r w:rsidRPr="009512FB">
              <w:t xml:space="preserve"> assets</w:t>
            </w:r>
          </w:p>
        </w:tc>
        <w:tc>
          <w:tcPr>
            <w:tcW w:w="1417" w:type="dxa"/>
            <w:shd w:val="clear" w:color="auto" w:fill="FFFFFF" w:themeFill="background1"/>
          </w:tcPr>
          <w:p w14:paraId="3B5805BD" w14:textId="70EBE0A1" w:rsidR="009512FB" w:rsidRPr="009512FB" w:rsidRDefault="009512FB" w:rsidP="009512FB">
            <w:pPr>
              <w:jc w:val="right"/>
              <w:rPr>
                <w:rFonts w:cs="HelveticaNeueLT Std"/>
              </w:rPr>
            </w:pPr>
            <w:r w:rsidRPr="009512FB">
              <w:t xml:space="preserve">  3,157,740</w:t>
            </w:r>
          </w:p>
        </w:tc>
        <w:tc>
          <w:tcPr>
            <w:tcW w:w="1418" w:type="dxa"/>
            <w:shd w:val="clear" w:color="auto" w:fill="FFFFFF" w:themeFill="background1"/>
          </w:tcPr>
          <w:p w14:paraId="3AE1000C" w14:textId="24158304" w:rsidR="009512FB" w:rsidRPr="009512FB" w:rsidRDefault="009512FB" w:rsidP="009512FB">
            <w:pPr>
              <w:jc w:val="right"/>
            </w:pPr>
            <w:r w:rsidRPr="009512FB">
              <w:t xml:space="preserve">  3,672,340</w:t>
            </w:r>
          </w:p>
        </w:tc>
        <w:tc>
          <w:tcPr>
            <w:tcW w:w="1417" w:type="dxa"/>
            <w:shd w:val="clear" w:color="auto" w:fill="FFFFFF" w:themeFill="background1"/>
          </w:tcPr>
          <w:p w14:paraId="64CBA4C6" w14:textId="684FF41C" w:rsidR="009512FB" w:rsidRPr="009512FB" w:rsidRDefault="009512FB" w:rsidP="009512FB">
            <w:pPr>
              <w:jc w:val="right"/>
            </w:pPr>
            <w:r w:rsidRPr="009512FB">
              <w:t xml:space="preserve">  25,243</w:t>
            </w:r>
          </w:p>
        </w:tc>
        <w:tc>
          <w:tcPr>
            <w:tcW w:w="1418" w:type="dxa"/>
            <w:shd w:val="clear" w:color="auto" w:fill="FFFFFF" w:themeFill="background1"/>
          </w:tcPr>
          <w:p w14:paraId="737D26A7" w14:textId="5E54D732" w:rsidR="009512FB" w:rsidRPr="009512FB" w:rsidRDefault="009512FB" w:rsidP="009512FB">
            <w:pPr>
              <w:jc w:val="right"/>
            </w:pPr>
            <w:r w:rsidRPr="009512FB">
              <w:t xml:space="preserve">  3,182,983</w:t>
            </w:r>
          </w:p>
        </w:tc>
        <w:tc>
          <w:tcPr>
            <w:tcW w:w="1418" w:type="dxa"/>
            <w:shd w:val="clear" w:color="auto" w:fill="FFFFFF" w:themeFill="background1"/>
          </w:tcPr>
          <w:p w14:paraId="2340D5FF" w14:textId="77D0911F" w:rsidR="009512FB" w:rsidRPr="009512FB" w:rsidRDefault="009512FB" w:rsidP="009512FB">
            <w:pPr>
              <w:jc w:val="right"/>
            </w:pPr>
            <w:r w:rsidRPr="009512FB">
              <w:t xml:space="preserve">  3,697,583</w:t>
            </w:r>
          </w:p>
        </w:tc>
      </w:tr>
      <w:tr w:rsidR="009512FB" w:rsidRPr="00D75692" w14:paraId="1E1469EA" w14:textId="77777777" w:rsidTr="000609BE">
        <w:trPr>
          <w:cantSplit/>
          <w:trHeight w:val="15"/>
        </w:trPr>
        <w:tc>
          <w:tcPr>
            <w:tcW w:w="2405" w:type="dxa"/>
            <w:shd w:val="clear" w:color="auto" w:fill="FFFFFF" w:themeFill="background1"/>
          </w:tcPr>
          <w:p w14:paraId="3D6C1758" w14:textId="175C4B0D" w:rsidR="009512FB" w:rsidRPr="009512FB" w:rsidRDefault="009512FB" w:rsidP="009512FB">
            <w:pPr>
              <w:rPr>
                <w:rFonts w:cs="HelveticaNeueLT Std"/>
              </w:rPr>
            </w:pPr>
            <w:r w:rsidRPr="009512FB">
              <w:t>Total Assets</w:t>
            </w:r>
          </w:p>
        </w:tc>
        <w:tc>
          <w:tcPr>
            <w:tcW w:w="1417" w:type="dxa"/>
            <w:shd w:val="clear" w:color="auto" w:fill="FFFFFF" w:themeFill="background1"/>
          </w:tcPr>
          <w:p w14:paraId="76C86A59" w14:textId="4AB7DDB5" w:rsidR="009512FB" w:rsidRPr="009512FB" w:rsidRDefault="009512FB" w:rsidP="009512FB">
            <w:pPr>
              <w:jc w:val="right"/>
              <w:rPr>
                <w:rFonts w:cs="HelveticaNeueLT Std"/>
              </w:rPr>
            </w:pPr>
            <w:r w:rsidRPr="009512FB">
              <w:t xml:space="preserve">  3,222,826</w:t>
            </w:r>
          </w:p>
        </w:tc>
        <w:tc>
          <w:tcPr>
            <w:tcW w:w="1418" w:type="dxa"/>
            <w:shd w:val="clear" w:color="auto" w:fill="FFFFFF" w:themeFill="background1"/>
          </w:tcPr>
          <w:p w14:paraId="01A4E14E" w14:textId="0AC13423" w:rsidR="009512FB" w:rsidRPr="009512FB" w:rsidRDefault="009512FB" w:rsidP="009512FB">
            <w:pPr>
              <w:jc w:val="right"/>
            </w:pPr>
            <w:r w:rsidRPr="009512FB">
              <w:t xml:space="preserve">  3,743,913</w:t>
            </w:r>
          </w:p>
        </w:tc>
        <w:tc>
          <w:tcPr>
            <w:tcW w:w="1417" w:type="dxa"/>
            <w:shd w:val="clear" w:color="auto" w:fill="FFFFFF" w:themeFill="background1"/>
          </w:tcPr>
          <w:p w14:paraId="2D642250" w14:textId="30F9CBDA" w:rsidR="009512FB" w:rsidRPr="009512FB" w:rsidRDefault="009512FB" w:rsidP="009512FB">
            <w:pPr>
              <w:jc w:val="right"/>
            </w:pPr>
            <w:r w:rsidRPr="009512FB">
              <w:t xml:space="preserve">  25,243</w:t>
            </w:r>
          </w:p>
        </w:tc>
        <w:tc>
          <w:tcPr>
            <w:tcW w:w="1418" w:type="dxa"/>
            <w:shd w:val="clear" w:color="auto" w:fill="FFFFFF" w:themeFill="background1"/>
          </w:tcPr>
          <w:p w14:paraId="75851AA5" w14:textId="7A0E3951" w:rsidR="009512FB" w:rsidRPr="009512FB" w:rsidRDefault="009512FB" w:rsidP="009512FB">
            <w:pPr>
              <w:jc w:val="right"/>
            </w:pPr>
            <w:r w:rsidRPr="009512FB">
              <w:t xml:space="preserve">  3,248,069</w:t>
            </w:r>
          </w:p>
        </w:tc>
        <w:tc>
          <w:tcPr>
            <w:tcW w:w="1418" w:type="dxa"/>
            <w:shd w:val="clear" w:color="auto" w:fill="FFFFFF" w:themeFill="background1"/>
          </w:tcPr>
          <w:p w14:paraId="0E5C3181" w14:textId="0EB9D170" w:rsidR="009512FB" w:rsidRPr="009512FB" w:rsidRDefault="009512FB" w:rsidP="009512FB">
            <w:pPr>
              <w:jc w:val="right"/>
            </w:pPr>
            <w:r w:rsidRPr="009512FB">
              <w:t xml:space="preserve">  3,769,156</w:t>
            </w:r>
          </w:p>
        </w:tc>
      </w:tr>
      <w:tr w:rsidR="009512FB" w:rsidRPr="00D75692" w14:paraId="79BE5B8F" w14:textId="77777777" w:rsidTr="000609BE">
        <w:trPr>
          <w:cantSplit/>
          <w:trHeight w:val="15"/>
        </w:trPr>
        <w:tc>
          <w:tcPr>
            <w:tcW w:w="2405" w:type="dxa"/>
            <w:shd w:val="clear" w:color="auto" w:fill="FFFFFF" w:themeFill="background1"/>
          </w:tcPr>
          <w:p w14:paraId="4660D6DE" w14:textId="09A476A7" w:rsidR="009512FB" w:rsidRPr="009512FB" w:rsidRDefault="009512FB" w:rsidP="009512FB">
            <w:pPr>
              <w:rPr>
                <w:rFonts w:cs="HelveticaNeueLT Std"/>
              </w:rPr>
            </w:pPr>
            <w:r w:rsidRPr="009512FB">
              <w:t>Accumulated funds</w:t>
            </w:r>
          </w:p>
        </w:tc>
        <w:tc>
          <w:tcPr>
            <w:tcW w:w="1417" w:type="dxa"/>
            <w:shd w:val="clear" w:color="auto" w:fill="FFFFFF" w:themeFill="background1"/>
          </w:tcPr>
          <w:p w14:paraId="0C1FCAA8" w14:textId="0568AAA8" w:rsidR="009512FB" w:rsidRPr="009512FB" w:rsidRDefault="009512FB" w:rsidP="009512FB">
            <w:pPr>
              <w:jc w:val="right"/>
              <w:rPr>
                <w:rFonts w:cs="HelveticaNeueLT Std"/>
              </w:rPr>
            </w:pPr>
            <w:r w:rsidRPr="009512FB">
              <w:t xml:space="preserve">  858,270</w:t>
            </w:r>
          </w:p>
        </w:tc>
        <w:tc>
          <w:tcPr>
            <w:tcW w:w="1418" w:type="dxa"/>
            <w:shd w:val="clear" w:color="auto" w:fill="FFFFFF" w:themeFill="background1"/>
          </w:tcPr>
          <w:p w14:paraId="3AAE57DD" w14:textId="1B67952C" w:rsidR="009512FB" w:rsidRPr="009512FB" w:rsidRDefault="009512FB" w:rsidP="009512FB">
            <w:pPr>
              <w:jc w:val="right"/>
            </w:pPr>
            <w:r w:rsidRPr="009512FB">
              <w:t xml:space="preserve">  934,213</w:t>
            </w:r>
          </w:p>
        </w:tc>
        <w:tc>
          <w:tcPr>
            <w:tcW w:w="1417" w:type="dxa"/>
            <w:shd w:val="clear" w:color="auto" w:fill="FFFFFF" w:themeFill="background1"/>
          </w:tcPr>
          <w:p w14:paraId="4D6D820A" w14:textId="6FD27DEA" w:rsidR="009512FB" w:rsidRPr="009512FB" w:rsidRDefault="009512FB" w:rsidP="009512FB">
            <w:pPr>
              <w:jc w:val="right"/>
            </w:pPr>
            <w:r w:rsidRPr="009512FB">
              <w:t xml:space="preserve">  25,243</w:t>
            </w:r>
          </w:p>
        </w:tc>
        <w:tc>
          <w:tcPr>
            <w:tcW w:w="1418" w:type="dxa"/>
            <w:shd w:val="clear" w:color="auto" w:fill="FFFFFF" w:themeFill="background1"/>
          </w:tcPr>
          <w:p w14:paraId="7D22A1C8" w14:textId="79357E67" w:rsidR="009512FB" w:rsidRPr="009512FB" w:rsidRDefault="009512FB" w:rsidP="009512FB">
            <w:pPr>
              <w:jc w:val="right"/>
            </w:pPr>
            <w:r w:rsidRPr="009512FB">
              <w:t xml:space="preserve">  883,513</w:t>
            </w:r>
          </w:p>
        </w:tc>
        <w:tc>
          <w:tcPr>
            <w:tcW w:w="1418" w:type="dxa"/>
            <w:shd w:val="clear" w:color="auto" w:fill="FFFFFF" w:themeFill="background1"/>
          </w:tcPr>
          <w:p w14:paraId="34A561EE" w14:textId="143F3420" w:rsidR="009512FB" w:rsidRPr="009512FB" w:rsidRDefault="009512FB" w:rsidP="009512FB">
            <w:pPr>
              <w:jc w:val="right"/>
            </w:pPr>
            <w:r w:rsidRPr="009512FB">
              <w:t xml:space="preserve">  959,456</w:t>
            </w:r>
          </w:p>
        </w:tc>
      </w:tr>
      <w:tr w:rsidR="009512FB" w:rsidRPr="00D75692" w14:paraId="46033CCE" w14:textId="77777777" w:rsidTr="000609BE">
        <w:trPr>
          <w:cantSplit/>
          <w:trHeight w:val="15"/>
        </w:trPr>
        <w:tc>
          <w:tcPr>
            <w:tcW w:w="2405" w:type="dxa"/>
            <w:shd w:val="clear" w:color="auto" w:fill="FFFFFF" w:themeFill="background1"/>
          </w:tcPr>
          <w:p w14:paraId="6F9A502F" w14:textId="57BF6918" w:rsidR="009512FB" w:rsidRPr="009512FB" w:rsidRDefault="009512FB" w:rsidP="009512FB">
            <w:pPr>
              <w:rPr>
                <w:rFonts w:cs="HelveticaNeueLT Std"/>
              </w:rPr>
            </w:pPr>
            <w:r w:rsidRPr="009512FB">
              <w:t>Total equity</w:t>
            </w:r>
          </w:p>
        </w:tc>
        <w:tc>
          <w:tcPr>
            <w:tcW w:w="1417" w:type="dxa"/>
            <w:shd w:val="clear" w:color="auto" w:fill="FFFFFF" w:themeFill="background1"/>
          </w:tcPr>
          <w:p w14:paraId="0E031882" w14:textId="652FA3C5" w:rsidR="009512FB" w:rsidRPr="009512FB" w:rsidRDefault="009512FB" w:rsidP="009512FB">
            <w:pPr>
              <w:jc w:val="right"/>
              <w:rPr>
                <w:rFonts w:cs="HelveticaNeueLT Std"/>
              </w:rPr>
            </w:pPr>
            <w:r w:rsidRPr="009512FB">
              <w:t xml:space="preserve">  2,511,611</w:t>
            </w:r>
          </w:p>
        </w:tc>
        <w:tc>
          <w:tcPr>
            <w:tcW w:w="1418" w:type="dxa"/>
            <w:shd w:val="clear" w:color="auto" w:fill="FFFFFF" w:themeFill="background1"/>
          </w:tcPr>
          <w:p w14:paraId="27CFE967" w14:textId="6FAAA58A" w:rsidR="009512FB" w:rsidRPr="009512FB" w:rsidRDefault="009512FB" w:rsidP="009512FB">
            <w:pPr>
              <w:jc w:val="right"/>
            </w:pPr>
            <w:r w:rsidRPr="009512FB">
              <w:t xml:space="preserve">  2,952,702</w:t>
            </w:r>
          </w:p>
        </w:tc>
        <w:tc>
          <w:tcPr>
            <w:tcW w:w="1417" w:type="dxa"/>
            <w:shd w:val="clear" w:color="auto" w:fill="FFFFFF" w:themeFill="background1"/>
          </w:tcPr>
          <w:p w14:paraId="6E39D467" w14:textId="009D8B55" w:rsidR="009512FB" w:rsidRPr="009512FB" w:rsidRDefault="009512FB" w:rsidP="009512FB">
            <w:pPr>
              <w:jc w:val="right"/>
            </w:pPr>
            <w:r w:rsidRPr="009512FB">
              <w:t xml:space="preserve">  25,243</w:t>
            </w:r>
          </w:p>
        </w:tc>
        <w:tc>
          <w:tcPr>
            <w:tcW w:w="1418" w:type="dxa"/>
            <w:shd w:val="clear" w:color="auto" w:fill="FFFFFF" w:themeFill="background1"/>
          </w:tcPr>
          <w:p w14:paraId="3B967844" w14:textId="36F6FA72" w:rsidR="009512FB" w:rsidRPr="009512FB" w:rsidRDefault="009512FB" w:rsidP="009512FB">
            <w:pPr>
              <w:jc w:val="right"/>
            </w:pPr>
            <w:r w:rsidRPr="009512FB">
              <w:t xml:space="preserve">  2,536,854</w:t>
            </w:r>
          </w:p>
        </w:tc>
        <w:tc>
          <w:tcPr>
            <w:tcW w:w="1418" w:type="dxa"/>
            <w:shd w:val="clear" w:color="auto" w:fill="FFFFFF" w:themeFill="background1"/>
          </w:tcPr>
          <w:p w14:paraId="1690A47E" w14:textId="3BF2B498" w:rsidR="009512FB" w:rsidRPr="009512FB" w:rsidRDefault="009512FB" w:rsidP="009512FB">
            <w:pPr>
              <w:jc w:val="right"/>
            </w:pPr>
            <w:r w:rsidRPr="009512FB">
              <w:t xml:space="preserve">  2,977,945</w:t>
            </w:r>
          </w:p>
        </w:tc>
      </w:tr>
    </w:tbl>
    <w:p w14:paraId="19B370DF" w14:textId="77777777" w:rsidR="00EE1CBE" w:rsidRDefault="00EE1CBE" w:rsidP="009E727C">
      <w:pPr>
        <w:rPr>
          <w:sz w:val="24"/>
          <w:lang w:val="en-GB"/>
        </w:rPr>
      </w:pPr>
    </w:p>
    <w:p w14:paraId="7041F882" w14:textId="41A2462A" w:rsidR="009E727C" w:rsidRPr="009E727C" w:rsidRDefault="009E727C" w:rsidP="009E727C">
      <w:pPr>
        <w:pStyle w:val="Heading4"/>
        <w:rPr>
          <w:sz w:val="24"/>
          <w:lang w:val="en-GB"/>
        </w:rPr>
      </w:pPr>
      <w:bookmarkStart w:id="66" w:name="_Ref211422516"/>
      <w:r w:rsidRPr="009E727C">
        <w:rPr>
          <w:lang w:val="en-GB"/>
        </w:rPr>
        <w:t xml:space="preserve">Significant judgements </w:t>
      </w:r>
      <w:r w:rsidRPr="009E727C">
        <w:rPr>
          <w:sz w:val="24"/>
          <w:lang w:val="en-GB"/>
        </w:rPr>
        <w:t>and uncertainties</w:t>
      </w:r>
      <w:bookmarkEnd w:id="66"/>
    </w:p>
    <w:p w14:paraId="2DE77E9A" w14:textId="77777777" w:rsidR="009E727C" w:rsidRPr="009E727C" w:rsidRDefault="009E727C" w:rsidP="009E727C">
      <w:pPr>
        <w:rPr>
          <w:sz w:val="24"/>
          <w:lang w:val="en-GB"/>
        </w:rPr>
      </w:pPr>
      <w:r w:rsidRPr="009E727C">
        <w:rPr>
          <w:sz w:val="24"/>
          <w:lang w:val="en-GB"/>
        </w:rPr>
        <w:t xml:space="preserve">QAC is currently involved in a dispute with </w:t>
      </w:r>
      <w:proofErr w:type="spellStart"/>
      <w:r w:rsidRPr="009E727C">
        <w:rPr>
          <w:sz w:val="24"/>
          <w:lang w:val="en-GB"/>
        </w:rPr>
        <w:t>Remarkables</w:t>
      </w:r>
      <w:proofErr w:type="spellEnd"/>
      <w:r w:rsidRPr="009E727C">
        <w:rPr>
          <w:sz w:val="24"/>
          <w:lang w:val="en-GB"/>
        </w:rPr>
        <w:t xml:space="preserve"> Park Limited (RPL) regarding the amount of compensation payable for the compulsory acquisition of land, with the matter currently before the Land Valuation Tribunal (LVT). The dispute arises from differences in the property valuations.</w:t>
      </w:r>
    </w:p>
    <w:p w14:paraId="24F098AA" w14:textId="77777777" w:rsidR="009E727C" w:rsidRPr="009E727C" w:rsidRDefault="009E727C" w:rsidP="009E727C">
      <w:pPr>
        <w:rPr>
          <w:sz w:val="24"/>
          <w:lang w:val="en-GB"/>
        </w:rPr>
      </w:pPr>
      <w:r w:rsidRPr="009E727C">
        <w:rPr>
          <w:sz w:val="24"/>
          <w:lang w:val="en-GB"/>
        </w:rPr>
        <w:t xml:space="preserve">During the year ending 30 June 2021, QAC paid $18.34 million in compensation for land known as 'Lot 6', which had been acquired under the Public Works Act 1981 (PWA) in 2019. The previous owner (RPL) subsequently indicated that it would seek additional compensation under the PWA. In July 2023, QAC received a claim for further compensation. QAC lodged this claim with the court in November 2023, and the matter was referred to the LVT. In 2024, following receipt of an updated claim from RPL and considering recent case law and forthcoming evidence exchange between the parties, QAC determined that its valuation should be based on an alternative valuation methodology to that previously used by its valuers. QAC's revised value range is between $26.2 million and $27.7 million (inclusive of the $18.34 million already paid), whereas RPL's claim stands at $73.5 million. The LVT hearing concluded in April 2025, but a decision on the compensation payable is yet to be released. The matter remains unresolved as </w:t>
      </w:r>
      <w:proofErr w:type="gramStart"/>
      <w:r w:rsidRPr="009E727C">
        <w:rPr>
          <w:sz w:val="24"/>
          <w:lang w:val="en-GB"/>
        </w:rPr>
        <w:t>at</w:t>
      </w:r>
      <w:proofErr w:type="gramEnd"/>
      <w:r w:rsidRPr="009E727C">
        <w:rPr>
          <w:sz w:val="24"/>
          <w:lang w:val="en-GB"/>
        </w:rPr>
        <w:t xml:space="preserve"> 30 June 2025.</w:t>
      </w:r>
    </w:p>
    <w:p w14:paraId="3D1D6682" w14:textId="77777777" w:rsidR="009E727C" w:rsidRPr="009E727C" w:rsidRDefault="009E727C" w:rsidP="009E727C">
      <w:pPr>
        <w:rPr>
          <w:sz w:val="24"/>
          <w:lang w:val="en-GB"/>
        </w:rPr>
      </w:pPr>
      <w:r w:rsidRPr="009E727C">
        <w:rPr>
          <w:sz w:val="24"/>
          <w:lang w:val="en-GB"/>
        </w:rPr>
        <w:lastRenderedPageBreak/>
        <w:t xml:space="preserve">As </w:t>
      </w:r>
      <w:proofErr w:type="gramStart"/>
      <w:r w:rsidRPr="009E727C">
        <w:rPr>
          <w:sz w:val="24"/>
          <w:lang w:val="en-GB"/>
        </w:rPr>
        <w:t>at</w:t>
      </w:r>
      <w:proofErr w:type="gramEnd"/>
      <w:r w:rsidRPr="009E727C">
        <w:rPr>
          <w:sz w:val="24"/>
          <w:lang w:val="en-GB"/>
        </w:rPr>
        <w:t xml:space="preserve"> 30 June 2025, QAC has recognised a provision in relation to this dispute, as management considers it probable that additional compensation will be required. This provision is based on difference between original amount paid and revised valuation of land, as determined by independent external valuations obtained by QAC and submitted to LVT. The asset valuation recorded </w:t>
      </w:r>
      <w:proofErr w:type="gramStart"/>
      <w:r w:rsidRPr="009E727C">
        <w:rPr>
          <w:sz w:val="24"/>
          <w:lang w:val="en-GB"/>
        </w:rPr>
        <w:t>at</w:t>
      </w:r>
      <w:proofErr w:type="gramEnd"/>
      <w:r w:rsidRPr="009E727C">
        <w:rPr>
          <w:sz w:val="24"/>
          <w:lang w:val="en-GB"/>
        </w:rPr>
        <w:t xml:space="preserve"> June reflects this revised valuation. The provision also includes an estimate of 'use of money' interest that would be payable should LVT adopt QAC valuation. The level of compensation that will be determined by LVT outcome remains highly uncertain.</w:t>
      </w:r>
    </w:p>
    <w:p w14:paraId="2BF25E46" w14:textId="77777777" w:rsidR="009E727C" w:rsidRPr="009E727C" w:rsidRDefault="009E727C" w:rsidP="00EE1CBE">
      <w:pPr>
        <w:pStyle w:val="Heading3"/>
        <w:rPr>
          <w:lang w:val="en-GB"/>
        </w:rPr>
      </w:pPr>
      <w:bookmarkStart w:id="67" w:name="_Toc211422676"/>
      <w:r w:rsidRPr="009E727C">
        <w:rPr>
          <w:lang w:val="en-GB"/>
        </w:rPr>
        <w:t>Explanation of Major Variances against Budget</w:t>
      </w:r>
      <w:bookmarkEnd w:id="67"/>
    </w:p>
    <w:p w14:paraId="0C175D21" w14:textId="77777777" w:rsidR="009E727C" w:rsidRPr="009E727C" w:rsidRDefault="009E727C" w:rsidP="00EE1CBE">
      <w:pPr>
        <w:pStyle w:val="Heading4"/>
        <w:rPr>
          <w:lang w:val="en-GB"/>
        </w:rPr>
      </w:pPr>
      <w:r w:rsidRPr="009E727C">
        <w:rPr>
          <w:lang w:val="en-GB"/>
        </w:rPr>
        <w:t>Statement of Financial Performance</w:t>
      </w:r>
    </w:p>
    <w:p w14:paraId="2F3D65F5" w14:textId="3822C2A4" w:rsidR="009E727C" w:rsidRPr="009E727C" w:rsidRDefault="009E727C" w:rsidP="009E727C">
      <w:pPr>
        <w:rPr>
          <w:sz w:val="24"/>
          <w:lang w:val="en-GB"/>
        </w:rPr>
      </w:pPr>
      <w:r w:rsidRPr="009E727C">
        <w:rPr>
          <w:sz w:val="24"/>
          <w:lang w:val="en-GB"/>
        </w:rPr>
        <w:t>QLDC recorded a surplus of $53.6M for the financial year. This is down from the $95.4M surplus recorded last year, and the $54.4M surplus budgeted.</w:t>
      </w:r>
    </w:p>
    <w:p w14:paraId="617D2EF6" w14:textId="77777777" w:rsidR="009E727C" w:rsidRPr="009E727C" w:rsidRDefault="009E727C" w:rsidP="009E727C">
      <w:pPr>
        <w:rPr>
          <w:sz w:val="24"/>
          <w:lang w:val="en-GB"/>
        </w:rPr>
      </w:pPr>
      <w:r w:rsidRPr="009E727C">
        <w:rPr>
          <w:sz w:val="24"/>
          <w:lang w:val="en-GB"/>
        </w:rPr>
        <w:t>Revenue was over budget by 3.1% or $9.6M.</w:t>
      </w:r>
    </w:p>
    <w:p w14:paraId="1A7F6DBC" w14:textId="77777777" w:rsidR="009E727C" w:rsidRPr="009E727C" w:rsidRDefault="009E727C" w:rsidP="009E727C">
      <w:pPr>
        <w:rPr>
          <w:sz w:val="24"/>
          <w:lang w:val="en-GB"/>
        </w:rPr>
      </w:pPr>
      <w:r w:rsidRPr="009E727C">
        <w:rPr>
          <w:sz w:val="24"/>
          <w:lang w:val="en-GB"/>
        </w:rPr>
        <w:t>The following major items contributed to the revenue variance:</w:t>
      </w:r>
    </w:p>
    <w:p w14:paraId="25A17B06" w14:textId="18B4735C" w:rsidR="009E727C" w:rsidRPr="00EE1CBE" w:rsidRDefault="009E727C" w:rsidP="00EE1CBE">
      <w:pPr>
        <w:pStyle w:val="ListParagraph"/>
        <w:numPr>
          <w:ilvl w:val="0"/>
          <w:numId w:val="36"/>
        </w:numPr>
        <w:rPr>
          <w:sz w:val="24"/>
          <w:lang w:val="en-GB"/>
        </w:rPr>
      </w:pPr>
      <w:r w:rsidRPr="00EE1CBE">
        <w:rPr>
          <w:sz w:val="24"/>
          <w:lang w:val="en-GB"/>
        </w:rPr>
        <w:t xml:space="preserve">Vested asset income was $22.7M above budget for the year; this non-cash income reflects the value of assets passed to Council </w:t>
      </w:r>
      <w:proofErr w:type="gramStart"/>
      <w:r w:rsidRPr="00EE1CBE">
        <w:rPr>
          <w:sz w:val="24"/>
          <w:lang w:val="en-GB"/>
        </w:rPr>
        <w:t>as a result of</w:t>
      </w:r>
      <w:proofErr w:type="gramEnd"/>
      <w:r w:rsidRPr="00EE1CBE">
        <w:rPr>
          <w:sz w:val="24"/>
          <w:lang w:val="en-GB"/>
        </w:rPr>
        <w:t xml:space="preserve"> continued high levels of development activity in the district.</w:t>
      </w:r>
    </w:p>
    <w:p w14:paraId="3EF951B9" w14:textId="6E6774CE" w:rsidR="009E727C" w:rsidRPr="00EE1CBE" w:rsidRDefault="009E727C" w:rsidP="00EE1CBE">
      <w:pPr>
        <w:pStyle w:val="ListParagraph"/>
        <w:numPr>
          <w:ilvl w:val="0"/>
          <w:numId w:val="36"/>
        </w:numPr>
        <w:rPr>
          <w:sz w:val="24"/>
          <w:lang w:val="en-GB"/>
        </w:rPr>
      </w:pPr>
      <w:r w:rsidRPr="00EE1CBE">
        <w:rPr>
          <w:sz w:val="24"/>
          <w:lang w:val="en-GB"/>
        </w:rPr>
        <w:t xml:space="preserve">Development contributions were $22.6M below budget of $39.4M for the year as this income is difficult to estimate due to the size and timing of the completion of developments in the districts. Receipts were unfavourable for all activities including Wastewater ($13.9M </w:t>
      </w:r>
      <w:proofErr w:type="spellStart"/>
      <w:r w:rsidRPr="00EE1CBE">
        <w:rPr>
          <w:sz w:val="24"/>
          <w:lang w:val="en-GB"/>
        </w:rPr>
        <w:t>unfav</w:t>
      </w:r>
      <w:proofErr w:type="spellEnd"/>
      <w:r w:rsidRPr="00EE1CBE">
        <w:rPr>
          <w:sz w:val="24"/>
          <w:lang w:val="en-GB"/>
        </w:rPr>
        <w:t xml:space="preserve">), Water Supply ($10.0M </w:t>
      </w:r>
      <w:proofErr w:type="spellStart"/>
      <w:r w:rsidRPr="00EE1CBE">
        <w:rPr>
          <w:sz w:val="24"/>
          <w:lang w:val="en-GB"/>
        </w:rPr>
        <w:t>unfav</w:t>
      </w:r>
      <w:proofErr w:type="spellEnd"/>
      <w:r w:rsidRPr="00EE1CBE">
        <w:rPr>
          <w:sz w:val="24"/>
          <w:lang w:val="en-GB"/>
        </w:rPr>
        <w:t xml:space="preserve">), Roading ($6.8M </w:t>
      </w:r>
      <w:proofErr w:type="spellStart"/>
      <w:r w:rsidRPr="00EE1CBE">
        <w:rPr>
          <w:sz w:val="24"/>
          <w:lang w:val="en-GB"/>
        </w:rPr>
        <w:t>unfav</w:t>
      </w:r>
      <w:proofErr w:type="spellEnd"/>
      <w:r w:rsidRPr="00EE1CBE">
        <w:rPr>
          <w:sz w:val="24"/>
          <w:lang w:val="en-GB"/>
        </w:rPr>
        <w:t xml:space="preserve">) and Stormwater ($4.2M </w:t>
      </w:r>
      <w:proofErr w:type="spellStart"/>
      <w:r w:rsidRPr="00EE1CBE">
        <w:rPr>
          <w:sz w:val="24"/>
          <w:lang w:val="en-GB"/>
        </w:rPr>
        <w:t>unfav</w:t>
      </w:r>
      <w:proofErr w:type="spellEnd"/>
      <w:r w:rsidRPr="00EE1CBE">
        <w:rPr>
          <w:sz w:val="24"/>
          <w:lang w:val="en-GB"/>
        </w:rPr>
        <w:t>).</w:t>
      </w:r>
    </w:p>
    <w:p w14:paraId="7DC0F70D" w14:textId="2766502F" w:rsidR="009E727C" w:rsidRPr="00EE1CBE" w:rsidRDefault="009E727C" w:rsidP="00EE1CBE">
      <w:pPr>
        <w:pStyle w:val="ListParagraph"/>
        <w:numPr>
          <w:ilvl w:val="0"/>
          <w:numId w:val="36"/>
        </w:numPr>
        <w:rPr>
          <w:sz w:val="24"/>
          <w:lang w:val="en-GB"/>
        </w:rPr>
      </w:pPr>
      <w:r w:rsidRPr="00EE1CBE">
        <w:rPr>
          <w:sz w:val="24"/>
          <w:lang w:val="en-GB"/>
        </w:rPr>
        <w:t>Dividend income from Queenstown Airport Company was $5.2M above budget.</w:t>
      </w:r>
    </w:p>
    <w:p w14:paraId="2358CF91" w14:textId="7B5AD88F" w:rsidR="009E727C" w:rsidRPr="009E727C" w:rsidRDefault="009E727C" w:rsidP="009E727C">
      <w:pPr>
        <w:rPr>
          <w:sz w:val="24"/>
          <w:lang w:val="en-GB"/>
        </w:rPr>
      </w:pPr>
      <w:r w:rsidRPr="009E727C">
        <w:rPr>
          <w:sz w:val="24"/>
          <w:lang w:val="en-GB"/>
        </w:rPr>
        <w:t>Expenditure was over by 3.7% or $9.7M.</w:t>
      </w:r>
    </w:p>
    <w:p w14:paraId="211FC352" w14:textId="77777777" w:rsidR="009E727C" w:rsidRPr="009E727C" w:rsidRDefault="009E727C" w:rsidP="009E727C">
      <w:pPr>
        <w:rPr>
          <w:sz w:val="24"/>
          <w:lang w:val="en-GB"/>
        </w:rPr>
      </w:pPr>
      <w:r w:rsidRPr="009E727C">
        <w:rPr>
          <w:sz w:val="24"/>
          <w:lang w:val="en-GB"/>
        </w:rPr>
        <w:t>The major remaining operational cost variances are as follows:</w:t>
      </w:r>
    </w:p>
    <w:p w14:paraId="5A94EBDE" w14:textId="220190A1" w:rsidR="009E727C" w:rsidRPr="00EE1CBE" w:rsidRDefault="009E727C" w:rsidP="00EE1CBE">
      <w:pPr>
        <w:pStyle w:val="ListParagraph"/>
        <w:numPr>
          <w:ilvl w:val="0"/>
          <w:numId w:val="37"/>
        </w:numPr>
        <w:rPr>
          <w:sz w:val="24"/>
          <w:lang w:val="en-GB"/>
        </w:rPr>
      </w:pPr>
      <w:r w:rsidRPr="00EE1CBE">
        <w:rPr>
          <w:sz w:val="24"/>
          <w:lang w:val="en-GB"/>
        </w:rPr>
        <w:t xml:space="preserve">Maintenance expenses </w:t>
      </w:r>
      <w:proofErr w:type="gramStart"/>
      <w:r w:rsidRPr="00EE1CBE">
        <w:rPr>
          <w:sz w:val="24"/>
          <w:lang w:val="en-GB"/>
        </w:rPr>
        <w:t>is</w:t>
      </w:r>
      <w:proofErr w:type="gramEnd"/>
      <w:r w:rsidRPr="00EE1CBE">
        <w:rPr>
          <w:sz w:val="24"/>
          <w:lang w:val="en-GB"/>
        </w:rPr>
        <w:t xml:space="preserve"> $7.6M above the budget. This includes $2.5M higher roading maintenance, $0.7M higher water supply maintenance, $4.5M higher wastewater maintenance.</w:t>
      </w:r>
    </w:p>
    <w:p w14:paraId="1E297DA4" w14:textId="257DA56E" w:rsidR="009E727C" w:rsidRPr="00EE1CBE" w:rsidRDefault="009E727C" w:rsidP="00EE1CBE">
      <w:pPr>
        <w:pStyle w:val="ListParagraph"/>
        <w:numPr>
          <w:ilvl w:val="0"/>
          <w:numId w:val="37"/>
        </w:numPr>
        <w:rPr>
          <w:sz w:val="24"/>
          <w:lang w:val="en-GB"/>
        </w:rPr>
      </w:pPr>
      <w:r w:rsidRPr="00EE1CBE">
        <w:rPr>
          <w:sz w:val="24"/>
          <w:lang w:val="en-GB"/>
        </w:rPr>
        <w:t xml:space="preserve">Depreciation and amortisation expense higher than budget by $3.4M, largely </w:t>
      </w:r>
      <w:proofErr w:type="gramStart"/>
      <w:r w:rsidRPr="00EE1CBE">
        <w:rPr>
          <w:sz w:val="24"/>
          <w:lang w:val="en-GB"/>
        </w:rPr>
        <w:t>as a result of</w:t>
      </w:r>
      <w:proofErr w:type="gramEnd"/>
      <w:r w:rsidRPr="00EE1CBE">
        <w:rPr>
          <w:sz w:val="24"/>
          <w:lang w:val="en-GB"/>
        </w:rPr>
        <w:t xml:space="preserve"> higher valuations for infrastructure assets for both 3 waters assets and roading assets.</w:t>
      </w:r>
    </w:p>
    <w:p w14:paraId="13DD30CD" w14:textId="1BAC1CFF" w:rsidR="009E727C" w:rsidRPr="009E727C" w:rsidRDefault="009E727C" w:rsidP="00EE1CBE">
      <w:pPr>
        <w:pStyle w:val="Heading4"/>
        <w:rPr>
          <w:lang w:val="en-GB"/>
        </w:rPr>
      </w:pPr>
      <w:r w:rsidRPr="009E727C">
        <w:rPr>
          <w:lang w:val="en-GB"/>
        </w:rPr>
        <w:t>Statement of Financial Position</w:t>
      </w:r>
    </w:p>
    <w:p w14:paraId="27A5F773" w14:textId="77777777" w:rsidR="009E727C" w:rsidRPr="009E727C" w:rsidRDefault="009E727C" w:rsidP="009E727C">
      <w:pPr>
        <w:rPr>
          <w:sz w:val="24"/>
          <w:lang w:val="en-GB"/>
        </w:rPr>
      </w:pPr>
      <w:r w:rsidRPr="009E727C">
        <w:rPr>
          <w:sz w:val="24"/>
          <w:lang w:val="en-GB"/>
        </w:rPr>
        <w:t xml:space="preserve">Net assets are $210.3m below budget. </w:t>
      </w:r>
    </w:p>
    <w:p w14:paraId="2512BB7D" w14:textId="77777777" w:rsidR="009E727C" w:rsidRPr="009E727C" w:rsidRDefault="009E727C" w:rsidP="009E727C">
      <w:pPr>
        <w:rPr>
          <w:sz w:val="24"/>
          <w:lang w:val="en-GB"/>
        </w:rPr>
      </w:pPr>
      <w:r w:rsidRPr="009E727C">
        <w:rPr>
          <w:sz w:val="24"/>
          <w:lang w:val="en-GB"/>
        </w:rPr>
        <w:t>The main variances relate to the difference in expected asset values for the year and increased borrowings. The following items contributed to this variance:</w:t>
      </w:r>
    </w:p>
    <w:p w14:paraId="5AAF738A" w14:textId="15FF0FD9" w:rsidR="009E727C" w:rsidRPr="00EE1CBE" w:rsidRDefault="009E727C" w:rsidP="00EE1CBE">
      <w:pPr>
        <w:pStyle w:val="ListParagraph"/>
        <w:numPr>
          <w:ilvl w:val="0"/>
          <w:numId w:val="38"/>
        </w:numPr>
        <w:rPr>
          <w:sz w:val="24"/>
          <w:lang w:val="en-GB"/>
        </w:rPr>
      </w:pPr>
      <w:r w:rsidRPr="00EE1CBE">
        <w:rPr>
          <w:sz w:val="24"/>
          <w:lang w:val="en-GB"/>
        </w:rPr>
        <w:t xml:space="preserve">Property, plant and equipment </w:t>
      </w:r>
      <w:proofErr w:type="gramStart"/>
      <w:r w:rsidRPr="00EE1CBE">
        <w:rPr>
          <w:sz w:val="24"/>
          <w:lang w:val="en-GB"/>
        </w:rPr>
        <w:t>is</w:t>
      </w:r>
      <w:proofErr w:type="gramEnd"/>
      <w:r w:rsidRPr="00EE1CBE">
        <w:rPr>
          <w:sz w:val="24"/>
          <w:lang w:val="en-GB"/>
        </w:rPr>
        <w:t xml:space="preserve"> $166M below budget. Overall capital expenditure was $129.7M which is below budget by $17.0M for the year ended 30 June 2025. To </w:t>
      </w:r>
      <w:r w:rsidRPr="00EE1CBE">
        <w:rPr>
          <w:sz w:val="24"/>
          <w:lang w:val="en-GB"/>
        </w:rPr>
        <w:lastRenderedPageBreak/>
        <w:t>note, there was an increase in infrastructure assets of $180.3M (2024: $200.3M) to prior year which includes a $55m revaluation gain on roading assets.</w:t>
      </w:r>
    </w:p>
    <w:p w14:paraId="17F059C4" w14:textId="5E9880E8" w:rsidR="009E727C" w:rsidRPr="00EE1CBE" w:rsidRDefault="009E727C" w:rsidP="00EE1CBE">
      <w:pPr>
        <w:pStyle w:val="ListParagraph"/>
        <w:numPr>
          <w:ilvl w:val="0"/>
          <w:numId w:val="38"/>
        </w:numPr>
        <w:rPr>
          <w:sz w:val="24"/>
          <w:lang w:val="en-GB"/>
        </w:rPr>
      </w:pPr>
      <w:r w:rsidRPr="00EE1CBE">
        <w:rPr>
          <w:sz w:val="24"/>
          <w:lang w:val="en-GB"/>
        </w:rPr>
        <w:t xml:space="preserve">Borrowings are $49.3M above budget. Total debt as </w:t>
      </w:r>
      <w:proofErr w:type="gramStart"/>
      <w:r w:rsidRPr="00EE1CBE">
        <w:rPr>
          <w:sz w:val="24"/>
          <w:lang w:val="en-GB"/>
        </w:rPr>
        <w:t>at</w:t>
      </w:r>
      <w:proofErr w:type="gramEnd"/>
      <w:r w:rsidRPr="00EE1CBE">
        <w:rPr>
          <w:sz w:val="24"/>
          <w:lang w:val="en-GB"/>
        </w:rPr>
        <w:t xml:space="preserve"> 30 June 2025 is $710.7M compared to a forecast of $661.4M to fund the capital programme.</w:t>
      </w:r>
    </w:p>
    <w:p w14:paraId="5C32F3A2" w14:textId="2DBF04A6" w:rsidR="009E727C" w:rsidRPr="009E727C" w:rsidRDefault="009E727C" w:rsidP="00EE1CBE">
      <w:pPr>
        <w:pStyle w:val="Heading4"/>
        <w:rPr>
          <w:lang w:val="en-GB"/>
        </w:rPr>
      </w:pPr>
      <w:r w:rsidRPr="009E727C">
        <w:rPr>
          <w:lang w:val="en-GB"/>
        </w:rPr>
        <w:t>Statement of Changes in Equity</w:t>
      </w:r>
    </w:p>
    <w:p w14:paraId="29B96BBD" w14:textId="77777777" w:rsidR="009E727C" w:rsidRPr="009E727C" w:rsidRDefault="009E727C" w:rsidP="009E727C">
      <w:pPr>
        <w:rPr>
          <w:sz w:val="24"/>
          <w:lang w:val="en-GB"/>
        </w:rPr>
      </w:pPr>
      <w:r w:rsidRPr="009E727C">
        <w:rPr>
          <w:sz w:val="24"/>
          <w:lang w:val="en-GB"/>
        </w:rPr>
        <w:t>Accumulated differences between actual and budgeted net surpluses as described above, as well as the impact of infrastructure asset revaluations in the current and prior year, and increased borrowings, has resulted in an equity variance of $210.3M below forecast.</w:t>
      </w:r>
    </w:p>
    <w:p w14:paraId="4966FBFD" w14:textId="77777777" w:rsidR="009E727C" w:rsidRPr="009E727C" w:rsidRDefault="009E727C" w:rsidP="00EE1CBE">
      <w:pPr>
        <w:pStyle w:val="Heading4"/>
        <w:rPr>
          <w:lang w:val="en-GB"/>
        </w:rPr>
      </w:pPr>
      <w:bookmarkStart w:id="68" w:name="_Ref211422430"/>
      <w:r w:rsidRPr="009E727C">
        <w:rPr>
          <w:lang w:val="en-GB"/>
        </w:rPr>
        <w:t>Statement of Cash Flows</w:t>
      </w:r>
      <w:bookmarkEnd w:id="68"/>
    </w:p>
    <w:p w14:paraId="1DFD34C5" w14:textId="0EDDF9F2" w:rsidR="009E727C" w:rsidRDefault="009E727C" w:rsidP="009E727C">
      <w:pPr>
        <w:rPr>
          <w:sz w:val="24"/>
          <w:lang w:val="en-GB"/>
        </w:rPr>
      </w:pPr>
      <w:r w:rsidRPr="009E727C">
        <w:rPr>
          <w:sz w:val="24"/>
          <w:lang w:val="en-GB"/>
        </w:rPr>
        <w:t xml:space="preserve">The budget variances explained above contribute to budget variations in the Statement of Cash Flows. Cash payments for the purchase of property, plant and equipment (i.e. capital expenditure) were $22.7M below estimate. Net borrowings were $17.0M more than expected. Cashflows from operating activities were $34.8M below budget for cash flows from operations mainly due to higher debtor turnover period (excluding </w:t>
      </w:r>
      <w:proofErr w:type="spellStart"/>
      <w:proofErr w:type="gramStart"/>
      <w:r w:rsidRPr="009E727C">
        <w:rPr>
          <w:sz w:val="24"/>
          <w:lang w:val="en-GB"/>
        </w:rPr>
        <w:t>non cash</w:t>
      </w:r>
      <w:proofErr w:type="spellEnd"/>
      <w:proofErr w:type="gramEnd"/>
      <w:r w:rsidRPr="009E727C">
        <w:rPr>
          <w:sz w:val="24"/>
          <w:lang w:val="en-GB"/>
        </w:rPr>
        <w:t xml:space="preserve"> items such as vested assets).</w:t>
      </w:r>
    </w:p>
    <w:p w14:paraId="3207526C" w14:textId="5DF1C5E2" w:rsidR="00984629" w:rsidRDefault="00984629">
      <w:pPr>
        <w:rPr>
          <w:sz w:val="24"/>
          <w:lang w:val="en-GB"/>
        </w:rPr>
      </w:pPr>
      <w:r>
        <w:rPr>
          <w:sz w:val="24"/>
          <w:lang w:val="en-GB"/>
        </w:rPr>
        <w:br w:type="page"/>
      </w:r>
    </w:p>
    <w:p w14:paraId="41D8535B" w14:textId="78E9AF52" w:rsidR="00984629" w:rsidRPr="00984629" w:rsidRDefault="00984629" w:rsidP="00984629">
      <w:pPr>
        <w:pStyle w:val="Heading1"/>
        <w:rPr>
          <w:lang w:val="en-GB"/>
        </w:rPr>
      </w:pPr>
      <w:bookmarkStart w:id="69" w:name="_Toc211422677"/>
      <w:r w:rsidRPr="00984629">
        <w:rPr>
          <w:lang w:val="en-GB"/>
        </w:rPr>
        <w:lastRenderedPageBreak/>
        <w:t xml:space="preserve">Auditor’s report </w:t>
      </w:r>
      <w:r>
        <w:rPr>
          <w:lang w:val="en-GB"/>
        </w:rPr>
        <w:t xml:space="preserve">| </w:t>
      </w:r>
      <w:proofErr w:type="spellStart"/>
      <w:r w:rsidRPr="00984629">
        <w:rPr>
          <w:lang w:val="en-GB"/>
        </w:rPr>
        <w:t>Pūroko</w:t>
      </w:r>
      <w:proofErr w:type="spellEnd"/>
      <w:r w:rsidRPr="00984629">
        <w:rPr>
          <w:lang w:val="en-GB"/>
        </w:rPr>
        <w:t xml:space="preserve"> a </w:t>
      </w:r>
      <w:proofErr w:type="spellStart"/>
      <w:r w:rsidRPr="00984629">
        <w:rPr>
          <w:lang w:val="en-GB"/>
        </w:rPr>
        <w:t>te</w:t>
      </w:r>
      <w:proofErr w:type="spellEnd"/>
      <w:r w:rsidRPr="00984629">
        <w:rPr>
          <w:lang w:val="en-GB"/>
        </w:rPr>
        <w:t xml:space="preserve"> </w:t>
      </w:r>
      <w:proofErr w:type="spellStart"/>
      <w:r w:rsidRPr="00984629">
        <w:rPr>
          <w:lang w:val="en-GB"/>
        </w:rPr>
        <w:t>kaitātari</w:t>
      </w:r>
      <w:bookmarkEnd w:id="69"/>
      <w:proofErr w:type="spellEnd"/>
    </w:p>
    <w:p w14:paraId="7811998C" w14:textId="37F7E0AB" w:rsidR="00984629" w:rsidRPr="00984629" w:rsidRDefault="00984629" w:rsidP="00984629">
      <w:pPr>
        <w:rPr>
          <w:b/>
          <w:bCs/>
          <w:sz w:val="24"/>
          <w:szCs w:val="24"/>
          <w:lang w:val="en-GB"/>
        </w:rPr>
      </w:pPr>
      <w:r>
        <w:rPr>
          <w:b/>
          <w:bCs/>
          <w:noProof/>
          <w:sz w:val="24"/>
          <w:szCs w:val="24"/>
          <w:lang w:val="en-GB"/>
        </w:rPr>
        <w:drawing>
          <wp:anchor distT="0" distB="0" distL="114300" distR="114300" simplePos="0" relativeHeight="251659264" behindDoc="1" locked="0" layoutInCell="1" allowOverlap="1" wp14:anchorId="67A0FE7B" wp14:editId="6E57BCD2">
            <wp:simplePos x="0" y="0"/>
            <wp:positionH relativeFrom="margin">
              <wp:posOffset>-249382</wp:posOffset>
            </wp:positionH>
            <wp:positionV relativeFrom="paragraph">
              <wp:posOffset>6441</wp:posOffset>
            </wp:positionV>
            <wp:extent cx="2006600" cy="817880"/>
            <wp:effectExtent l="0" t="0" r="0" b="1270"/>
            <wp:wrapTopAndBottom/>
            <wp:docPr id="1591195749" name="Picture 3" descr="Deloit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95749" name="Picture 3" descr="Deloitte 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660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29">
        <w:rPr>
          <w:b/>
          <w:bCs/>
          <w:sz w:val="24"/>
          <w:szCs w:val="24"/>
          <w:lang w:val="en-GB"/>
        </w:rPr>
        <w:t>INDEPENDENT AUDITOR’S REPORT</w:t>
      </w:r>
    </w:p>
    <w:p w14:paraId="563C7696" w14:textId="601AA59A" w:rsidR="00984629" w:rsidRPr="00984629" w:rsidRDefault="00984629" w:rsidP="00984629">
      <w:pPr>
        <w:rPr>
          <w:sz w:val="24"/>
          <w:szCs w:val="24"/>
          <w:lang w:val="en-GB"/>
        </w:rPr>
      </w:pPr>
      <w:r w:rsidRPr="00984629">
        <w:rPr>
          <w:b/>
          <w:bCs/>
          <w:sz w:val="24"/>
          <w:szCs w:val="24"/>
          <w:lang w:val="en-GB"/>
        </w:rPr>
        <w:t>TO THE READERS OF QUEENSTOWN LAKES DISTRICT COUNCIL AND GROUP’S SUMMARY OF THE ANNUAL REPORT FOR THE YEAR ENDED 30 JUNE 2025</w:t>
      </w:r>
    </w:p>
    <w:p w14:paraId="689E3387" w14:textId="77777777" w:rsidR="00984629" w:rsidRPr="00984629" w:rsidRDefault="00984629" w:rsidP="00984629">
      <w:pPr>
        <w:rPr>
          <w:sz w:val="24"/>
          <w:szCs w:val="24"/>
          <w:lang w:val="en-GB"/>
        </w:rPr>
      </w:pPr>
      <w:r w:rsidRPr="00984629">
        <w:rPr>
          <w:sz w:val="24"/>
          <w:szCs w:val="24"/>
          <w:lang w:val="en-GB"/>
        </w:rPr>
        <w:t>The summary of the annual report was derived from the annual report of the Queenstown Lakes District Council and Group (the Council) for the year ended 30 June 2025.</w:t>
      </w:r>
    </w:p>
    <w:p w14:paraId="182BB67C" w14:textId="1D2C59D2" w:rsidR="00984629" w:rsidRPr="008313BC" w:rsidRDefault="00984629" w:rsidP="00984629">
      <w:pPr>
        <w:rPr>
          <w:color w:val="000000" w:themeColor="text1"/>
          <w:sz w:val="24"/>
          <w:szCs w:val="24"/>
          <w:lang w:val="en-GB"/>
        </w:rPr>
      </w:pPr>
      <w:r w:rsidRPr="008313BC">
        <w:rPr>
          <w:color w:val="000000" w:themeColor="text1"/>
          <w:sz w:val="24"/>
          <w:szCs w:val="24"/>
          <w:lang w:val="en-GB"/>
        </w:rPr>
        <w:t>The summary of the annual report comprises the following information on pages</w:t>
      </w:r>
      <w:r w:rsidR="008313BC" w:rsidRPr="008313BC">
        <w:rPr>
          <w:color w:val="000000" w:themeColor="text1"/>
          <w:sz w:val="24"/>
          <w:szCs w:val="24"/>
          <w:lang w:val="en-GB"/>
        </w:rPr>
        <w:t xml:space="preserve"> </w:t>
      </w:r>
      <w:r w:rsidR="008313BC" w:rsidRPr="008313BC">
        <w:rPr>
          <w:color w:val="000000" w:themeColor="text1"/>
          <w:sz w:val="24"/>
          <w:szCs w:val="24"/>
          <w:lang w:val="en-GB"/>
        </w:rPr>
        <w:fldChar w:fldCharType="begin"/>
      </w:r>
      <w:r w:rsidR="008313BC" w:rsidRPr="008313BC">
        <w:rPr>
          <w:color w:val="000000" w:themeColor="text1"/>
          <w:sz w:val="24"/>
          <w:szCs w:val="24"/>
          <w:lang w:val="en-GB"/>
        </w:rPr>
        <w:instrText xml:space="preserve"> PAGEREF _Ref211422372 \h </w:instrText>
      </w:r>
      <w:r w:rsidR="008313BC" w:rsidRPr="008313BC">
        <w:rPr>
          <w:color w:val="000000" w:themeColor="text1"/>
          <w:sz w:val="24"/>
          <w:szCs w:val="24"/>
          <w:lang w:val="en-GB"/>
        </w:rPr>
      </w:r>
      <w:r w:rsidR="008313BC" w:rsidRPr="008313BC">
        <w:rPr>
          <w:color w:val="000000" w:themeColor="text1"/>
          <w:sz w:val="24"/>
          <w:szCs w:val="24"/>
          <w:lang w:val="en-GB"/>
        </w:rPr>
        <w:fldChar w:fldCharType="separate"/>
      </w:r>
      <w:r w:rsidR="008313BC" w:rsidRPr="008313BC">
        <w:rPr>
          <w:noProof/>
          <w:color w:val="000000" w:themeColor="text1"/>
          <w:sz w:val="24"/>
          <w:szCs w:val="24"/>
          <w:lang w:val="en-GB"/>
        </w:rPr>
        <w:t>23</w:t>
      </w:r>
      <w:r w:rsidR="008313BC" w:rsidRPr="008313BC">
        <w:rPr>
          <w:color w:val="000000" w:themeColor="text1"/>
          <w:sz w:val="24"/>
          <w:szCs w:val="24"/>
          <w:lang w:val="en-GB"/>
        </w:rPr>
        <w:fldChar w:fldCharType="end"/>
      </w:r>
      <w:r w:rsidR="008313BC" w:rsidRPr="008313BC">
        <w:rPr>
          <w:color w:val="000000" w:themeColor="text1"/>
          <w:sz w:val="24"/>
          <w:szCs w:val="24"/>
          <w:lang w:val="en-GB"/>
        </w:rPr>
        <w:t xml:space="preserve"> to </w:t>
      </w:r>
      <w:r w:rsidR="008313BC" w:rsidRPr="008313BC">
        <w:rPr>
          <w:color w:val="000000" w:themeColor="text1"/>
          <w:sz w:val="24"/>
          <w:szCs w:val="24"/>
          <w:lang w:val="en-GB"/>
        </w:rPr>
        <w:fldChar w:fldCharType="begin"/>
      </w:r>
      <w:r w:rsidR="008313BC" w:rsidRPr="008313BC">
        <w:rPr>
          <w:color w:val="000000" w:themeColor="text1"/>
          <w:sz w:val="24"/>
          <w:szCs w:val="24"/>
          <w:lang w:val="en-GB"/>
        </w:rPr>
        <w:instrText xml:space="preserve"> PAGEREF _Ref211422430 \h </w:instrText>
      </w:r>
      <w:r w:rsidR="008313BC" w:rsidRPr="008313BC">
        <w:rPr>
          <w:color w:val="000000" w:themeColor="text1"/>
          <w:sz w:val="24"/>
          <w:szCs w:val="24"/>
          <w:lang w:val="en-GB"/>
        </w:rPr>
      </w:r>
      <w:r w:rsidR="008313BC" w:rsidRPr="008313BC">
        <w:rPr>
          <w:color w:val="000000" w:themeColor="text1"/>
          <w:sz w:val="24"/>
          <w:szCs w:val="24"/>
          <w:lang w:val="en-GB"/>
        </w:rPr>
        <w:fldChar w:fldCharType="separate"/>
      </w:r>
      <w:r w:rsidR="008313BC" w:rsidRPr="008313BC">
        <w:rPr>
          <w:noProof/>
          <w:color w:val="000000" w:themeColor="text1"/>
          <w:sz w:val="24"/>
          <w:szCs w:val="24"/>
          <w:lang w:val="en-GB"/>
        </w:rPr>
        <w:t>6</w:t>
      </w:r>
      <w:r w:rsidR="008313BC" w:rsidRPr="008313BC">
        <w:rPr>
          <w:noProof/>
          <w:color w:val="000000" w:themeColor="text1"/>
          <w:sz w:val="24"/>
          <w:szCs w:val="24"/>
          <w:lang w:val="en-GB"/>
        </w:rPr>
        <w:t>1</w:t>
      </w:r>
      <w:r w:rsidR="008313BC" w:rsidRPr="008313BC">
        <w:rPr>
          <w:color w:val="000000" w:themeColor="text1"/>
          <w:sz w:val="24"/>
          <w:szCs w:val="24"/>
          <w:lang w:val="en-GB"/>
        </w:rPr>
        <w:fldChar w:fldCharType="end"/>
      </w:r>
      <w:r w:rsidRPr="008313BC">
        <w:rPr>
          <w:color w:val="000000" w:themeColor="text1"/>
          <w:sz w:val="24"/>
          <w:szCs w:val="24"/>
          <w:lang w:val="en-GB"/>
        </w:rPr>
        <w:t>:</w:t>
      </w:r>
    </w:p>
    <w:p w14:paraId="600470DC" w14:textId="3D40DD6E" w:rsidR="00984629" w:rsidRPr="00984629" w:rsidRDefault="00984629" w:rsidP="00984629">
      <w:pPr>
        <w:pStyle w:val="ListParagraph"/>
        <w:numPr>
          <w:ilvl w:val="0"/>
          <w:numId w:val="42"/>
        </w:numPr>
        <w:rPr>
          <w:sz w:val="24"/>
          <w:szCs w:val="24"/>
          <w:lang w:val="en-GB"/>
        </w:rPr>
      </w:pPr>
      <w:r w:rsidRPr="00984629">
        <w:rPr>
          <w:sz w:val="24"/>
          <w:szCs w:val="24"/>
          <w:lang w:val="en-GB"/>
        </w:rPr>
        <w:t xml:space="preserve">the summary statement of financial position as </w:t>
      </w:r>
      <w:proofErr w:type="gramStart"/>
      <w:r w:rsidRPr="00984629">
        <w:rPr>
          <w:sz w:val="24"/>
          <w:szCs w:val="24"/>
          <w:lang w:val="en-GB"/>
        </w:rPr>
        <w:t>at</w:t>
      </w:r>
      <w:proofErr w:type="gramEnd"/>
      <w:r w:rsidRPr="00984629">
        <w:rPr>
          <w:sz w:val="24"/>
          <w:szCs w:val="24"/>
          <w:lang w:val="en-GB"/>
        </w:rPr>
        <w:t xml:space="preserve"> 30 June </w:t>
      </w:r>
      <w:proofErr w:type="gramStart"/>
      <w:r w:rsidRPr="00984629">
        <w:rPr>
          <w:sz w:val="24"/>
          <w:szCs w:val="24"/>
          <w:lang w:val="en-GB"/>
        </w:rPr>
        <w:t>2025;</w:t>
      </w:r>
      <w:proofErr w:type="gramEnd"/>
    </w:p>
    <w:p w14:paraId="256AA282" w14:textId="7C7BA7B7" w:rsidR="00984629" w:rsidRPr="00984629" w:rsidRDefault="00984629" w:rsidP="00984629">
      <w:pPr>
        <w:pStyle w:val="ListParagraph"/>
        <w:numPr>
          <w:ilvl w:val="0"/>
          <w:numId w:val="42"/>
        </w:numPr>
        <w:rPr>
          <w:sz w:val="24"/>
          <w:szCs w:val="24"/>
          <w:lang w:val="en-GB"/>
        </w:rPr>
      </w:pPr>
      <w:r w:rsidRPr="00984629">
        <w:rPr>
          <w:sz w:val="24"/>
          <w:szCs w:val="24"/>
          <w:lang w:val="en-GB"/>
        </w:rPr>
        <w:t xml:space="preserve">the summaries of the statement of financial performance, statement of other comprehensive revenue and expense, statement of changes in equity and statement of cash flows for the year ended 30 June </w:t>
      </w:r>
      <w:proofErr w:type="gramStart"/>
      <w:r w:rsidRPr="00984629">
        <w:rPr>
          <w:sz w:val="24"/>
          <w:szCs w:val="24"/>
          <w:lang w:val="en-GB"/>
        </w:rPr>
        <w:t>2025;</w:t>
      </w:r>
      <w:proofErr w:type="gramEnd"/>
    </w:p>
    <w:p w14:paraId="06E90F00" w14:textId="2EDE00C2" w:rsidR="00984629" w:rsidRPr="00984629" w:rsidRDefault="00984629" w:rsidP="00984629">
      <w:pPr>
        <w:pStyle w:val="ListParagraph"/>
        <w:numPr>
          <w:ilvl w:val="0"/>
          <w:numId w:val="42"/>
        </w:numPr>
        <w:rPr>
          <w:sz w:val="24"/>
          <w:szCs w:val="24"/>
          <w:lang w:val="en-GB"/>
        </w:rPr>
      </w:pPr>
      <w:r w:rsidRPr="00984629">
        <w:rPr>
          <w:sz w:val="24"/>
          <w:szCs w:val="24"/>
          <w:lang w:val="en-GB"/>
        </w:rPr>
        <w:t>the notes to the summary financial statements that include accounting policies and other explanatory information; and</w:t>
      </w:r>
    </w:p>
    <w:p w14:paraId="35F12833" w14:textId="15CFCDE6" w:rsidR="00984629" w:rsidRPr="00984629" w:rsidRDefault="00984629" w:rsidP="00984629">
      <w:pPr>
        <w:pStyle w:val="ListParagraph"/>
        <w:numPr>
          <w:ilvl w:val="0"/>
          <w:numId w:val="42"/>
        </w:numPr>
        <w:rPr>
          <w:sz w:val="24"/>
          <w:szCs w:val="24"/>
          <w:lang w:val="en-GB"/>
        </w:rPr>
      </w:pPr>
      <w:r w:rsidRPr="00984629">
        <w:rPr>
          <w:sz w:val="24"/>
          <w:szCs w:val="24"/>
          <w:lang w:val="en-GB"/>
        </w:rPr>
        <w:t>the summary statement of service performance.</w:t>
      </w:r>
    </w:p>
    <w:p w14:paraId="7FA00504" w14:textId="77777777" w:rsidR="00984629" w:rsidRPr="00984629" w:rsidRDefault="00984629" w:rsidP="00984629">
      <w:pPr>
        <w:rPr>
          <w:b/>
          <w:bCs/>
          <w:sz w:val="24"/>
          <w:szCs w:val="24"/>
          <w:lang w:val="en-GB"/>
        </w:rPr>
      </w:pPr>
      <w:r w:rsidRPr="00984629">
        <w:rPr>
          <w:b/>
          <w:bCs/>
          <w:sz w:val="24"/>
          <w:szCs w:val="24"/>
          <w:lang w:val="en-GB"/>
        </w:rPr>
        <w:t>Opinion</w:t>
      </w:r>
    </w:p>
    <w:p w14:paraId="38ED5826" w14:textId="77777777" w:rsidR="00984629" w:rsidRPr="00984629" w:rsidRDefault="00984629" w:rsidP="00984629">
      <w:pPr>
        <w:rPr>
          <w:sz w:val="24"/>
          <w:szCs w:val="24"/>
          <w:lang w:val="en-GB"/>
        </w:rPr>
      </w:pPr>
      <w:r w:rsidRPr="00984629">
        <w:rPr>
          <w:sz w:val="24"/>
          <w:szCs w:val="24"/>
          <w:lang w:val="en-GB"/>
        </w:rPr>
        <w:t>In our opinion:</w:t>
      </w:r>
    </w:p>
    <w:p w14:paraId="045B80A7" w14:textId="286B8BA1" w:rsidR="00984629" w:rsidRPr="00984629" w:rsidRDefault="00984629" w:rsidP="00984629">
      <w:pPr>
        <w:pStyle w:val="ListParagraph"/>
        <w:numPr>
          <w:ilvl w:val="0"/>
          <w:numId w:val="41"/>
        </w:numPr>
        <w:rPr>
          <w:sz w:val="24"/>
          <w:szCs w:val="24"/>
          <w:lang w:val="en-GB"/>
        </w:rPr>
      </w:pPr>
      <w:r w:rsidRPr="00984629">
        <w:rPr>
          <w:sz w:val="24"/>
          <w:szCs w:val="24"/>
          <w:lang w:val="en-GB"/>
        </w:rPr>
        <w:t>the summary of the annual report represents, fairly and consistently, the information regarding the major matters dealt with in the annual report; and</w:t>
      </w:r>
    </w:p>
    <w:p w14:paraId="456327C9" w14:textId="68C91531" w:rsidR="00984629" w:rsidRPr="00984629" w:rsidRDefault="00984629" w:rsidP="00984629">
      <w:pPr>
        <w:pStyle w:val="ListParagraph"/>
        <w:numPr>
          <w:ilvl w:val="0"/>
          <w:numId w:val="41"/>
        </w:numPr>
        <w:rPr>
          <w:i/>
          <w:iCs/>
          <w:sz w:val="24"/>
          <w:szCs w:val="24"/>
          <w:lang w:val="en-GB"/>
        </w:rPr>
      </w:pPr>
      <w:r w:rsidRPr="00984629">
        <w:rPr>
          <w:sz w:val="24"/>
          <w:szCs w:val="24"/>
          <w:lang w:val="en-GB"/>
        </w:rPr>
        <w:t xml:space="preserve">the summary statements comply with PBE FRS-43: </w:t>
      </w:r>
      <w:r w:rsidRPr="00984629">
        <w:rPr>
          <w:i/>
          <w:iCs/>
          <w:sz w:val="24"/>
          <w:szCs w:val="24"/>
          <w:lang w:val="en-GB"/>
        </w:rPr>
        <w:t>Summary Financial Statements.</w:t>
      </w:r>
    </w:p>
    <w:p w14:paraId="07FA2ECD" w14:textId="77777777" w:rsidR="00984629" w:rsidRPr="00984629" w:rsidRDefault="00984629" w:rsidP="00984629">
      <w:pPr>
        <w:rPr>
          <w:b/>
          <w:bCs/>
          <w:sz w:val="24"/>
          <w:szCs w:val="24"/>
          <w:lang w:val="en-GB"/>
        </w:rPr>
      </w:pPr>
      <w:r w:rsidRPr="00984629">
        <w:rPr>
          <w:b/>
          <w:bCs/>
          <w:sz w:val="24"/>
          <w:szCs w:val="24"/>
          <w:lang w:val="en-GB"/>
        </w:rPr>
        <w:t>Summary of the annual report</w:t>
      </w:r>
    </w:p>
    <w:p w14:paraId="23E22DB7" w14:textId="77777777" w:rsidR="00984629" w:rsidRPr="00984629" w:rsidRDefault="00984629" w:rsidP="00984629">
      <w:pPr>
        <w:rPr>
          <w:sz w:val="24"/>
          <w:szCs w:val="24"/>
          <w:lang w:val="en-GB"/>
        </w:rPr>
      </w:pPr>
      <w:r w:rsidRPr="00984629">
        <w:rPr>
          <w:sz w:val="24"/>
          <w:szCs w:val="24"/>
          <w:lang w:val="en-GB"/>
        </w:rPr>
        <w:t>The summary of the annual report does not contain all the disclosures required by generally accepted accounting practice in New Zealand. Reading the summary of the annual report and the auditor’s report thereon, therefore, is not a substitute for reading the full annual report and the auditor’s report thereon.</w:t>
      </w:r>
    </w:p>
    <w:p w14:paraId="370084A5" w14:textId="77777777" w:rsidR="00984629" w:rsidRPr="00984629" w:rsidRDefault="00984629" w:rsidP="00984629">
      <w:pPr>
        <w:rPr>
          <w:sz w:val="24"/>
          <w:szCs w:val="24"/>
          <w:lang w:val="en-GB"/>
        </w:rPr>
      </w:pPr>
      <w:r w:rsidRPr="00984629">
        <w:rPr>
          <w:sz w:val="24"/>
          <w:szCs w:val="24"/>
          <w:lang w:val="en-GB"/>
        </w:rPr>
        <w:t xml:space="preserve">The summary of the annual report does not reflect the effects of events that occurred </w:t>
      </w:r>
      <w:proofErr w:type="gramStart"/>
      <w:r w:rsidRPr="00984629">
        <w:rPr>
          <w:sz w:val="24"/>
          <w:szCs w:val="24"/>
          <w:lang w:val="en-GB"/>
        </w:rPr>
        <w:t>subsequent to</w:t>
      </w:r>
      <w:proofErr w:type="gramEnd"/>
      <w:r w:rsidRPr="00984629">
        <w:rPr>
          <w:sz w:val="24"/>
          <w:szCs w:val="24"/>
          <w:lang w:val="en-GB"/>
        </w:rPr>
        <w:t xml:space="preserve"> the date of our auditor’s report on the full annual report.</w:t>
      </w:r>
    </w:p>
    <w:p w14:paraId="29ED8C81" w14:textId="77777777" w:rsidR="00984629" w:rsidRPr="00984629" w:rsidRDefault="00984629" w:rsidP="00984629">
      <w:pPr>
        <w:rPr>
          <w:b/>
          <w:bCs/>
          <w:sz w:val="24"/>
          <w:szCs w:val="24"/>
          <w:lang w:val="en-GB"/>
        </w:rPr>
      </w:pPr>
      <w:r w:rsidRPr="00984629">
        <w:rPr>
          <w:b/>
          <w:bCs/>
          <w:sz w:val="24"/>
          <w:szCs w:val="24"/>
          <w:lang w:val="en-GB"/>
        </w:rPr>
        <w:t>The full annual report and our audit report thereon</w:t>
      </w:r>
    </w:p>
    <w:p w14:paraId="1933ED2F" w14:textId="6A65BD3B" w:rsidR="00984629" w:rsidRPr="00984629" w:rsidRDefault="00984629" w:rsidP="00984629">
      <w:pPr>
        <w:rPr>
          <w:sz w:val="24"/>
          <w:szCs w:val="24"/>
          <w:lang w:val="en-GB"/>
        </w:rPr>
      </w:pPr>
      <w:r w:rsidRPr="00984629">
        <w:rPr>
          <w:sz w:val="24"/>
          <w:szCs w:val="24"/>
          <w:lang w:val="en-GB"/>
        </w:rPr>
        <w:t xml:space="preserve">We expressed an unmodified audit opinion on the information we audited in the full annual report for the year ended 30 June 2025 in our auditor’s report dated 9 October 2025. </w:t>
      </w:r>
    </w:p>
    <w:p w14:paraId="781EE004" w14:textId="77777777" w:rsidR="00984629" w:rsidRPr="00984629" w:rsidRDefault="00984629" w:rsidP="00984629">
      <w:pPr>
        <w:rPr>
          <w:sz w:val="24"/>
          <w:szCs w:val="24"/>
          <w:lang w:val="en-GB"/>
        </w:rPr>
      </w:pPr>
      <w:r w:rsidRPr="00984629">
        <w:rPr>
          <w:sz w:val="24"/>
          <w:szCs w:val="24"/>
          <w:lang w:val="en-GB"/>
        </w:rPr>
        <w:lastRenderedPageBreak/>
        <w:t xml:space="preserve">That report includes two </w:t>
      </w:r>
      <w:proofErr w:type="gramStart"/>
      <w:r w:rsidRPr="00984629">
        <w:rPr>
          <w:sz w:val="24"/>
          <w:szCs w:val="24"/>
          <w:lang w:val="en-GB"/>
        </w:rPr>
        <w:t>emphasis</w:t>
      </w:r>
      <w:proofErr w:type="gramEnd"/>
      <w:r w:rsidRPr="00984629">
        <w:rPr>
          <w:sz w:val="24"/>
          <w:szCs w:val="24"/>
          <w:lang w:val="en-GB"/>
        </w:rPr>
        <w:t xml:space="preserve"> of matter paragraphs which draw attention to:</w:t>
      </w:r>
    </w:p>
    <w:p w14:paraId="5384DF48" w14:textId="4DDD03EA" w:rsidR="00984629" w:rsidRPr="00984629" w:rsidRDefault="00984629" w:rsidP="00984629">
      <w:pPr>
        <w:pStyle w:val="ListParagraph"/>
        <w:numPr>
          <w:ilvl w:val="0"/>
          <w:numId w:val="41"/>
        </w:numPr>
        <w:rPr>
          <w:sz w:val="24"/>
          <w:szCs w:val="24"/>
          <w:lang w:val="en-GB"/>
        </w:rPr>
      </w:pPr>
      <w:r w:rsidRPr="00984629">
        <w:rPr>
          <w:sz w:val="24"/>
          <w:szCs w:val="24"/>
          <w:lang w:val="en-GB"/>
        </w:rPr>
        <w:t xml:space="preserve">Future of water delivery (Council and </w:t>
      </w:r>
      <w:r w:rsidRPr="00F24B9A">
        <w:rPr>
          <w:color w:val="000000" w:themeColor="text1"/>
          <w:sz w:val="24"/>
          <w:szCs w:val="24"/>
          <w:lang w:val="en-GB"/>
        </w:rPr>
        <w:t xml:space="preserve">Group). Page </w:t>
      </w:r>
      <w:r w:rsidR="00F24B9A" w:rsidRPr="00F24B9A">
        <w:rPr>
          <w:color w:val="000000" w:themeColor="text1"/>
          <w:sz w:val="24"/>
          <w:szCs w:val="24"/>
          <w:lang w:val="en-GB"/>
        </w:rPr>
        <w:fldChar w:fldCharType="begin"/>
      </w:r>
      <w:r w:rsidR="00F24B9A" w:rsidRPr="00F24B9A">
        <w:rPr>
          <w:color w:val="000000" w:themeColor="text1"/>
          <w:sz w:val="24"/>
          <w:szCs w:val="24"/>
          <w:lang w:val="en-GB"/>
        </w:rPr>
        <w:instrText xml:space="preserve"> PAGEREF _Ref211422486 \h </w:instrText>
      </w:r>
      <w:r w:rsidR="00F24B9A" w:rsidRPr="00F24B9A">
        <w:rPr>
          <w:color w:val="000000" w:themeColor="text1"/>
          <w:sz w:val="24"/>
          <w:szCs w:val="24"/>
          <w:lang w:val="en-GB"/>
        </w:rPr>
      </w:r>
      <w:r w:rsidR="00F24B9A" w:rsidRPr="00F24B9A">
        <w:rPr>
          <w:color w:val="000000" w:themeColor="text1"/>
          <w:sz w:val="24"/>
          <w:szCs w:val="24"/>
          <w:lang w:val="en-GB"/>
        </w:rPr>
        <w:fldChar w:fldCharType="separate"/>
      </w:r>
      <w:r w:rsidR="00F24B9A" w:rsidRPr="00F24B9A">
        <w:rPr>
          <w:noProof/>
          <w:color w:val="000000" w:themeColor="text1"/>
          <w:sz w:val="24"/>
          <w:szCs w:val="24"/>
          <w:lang w:val="en-GB"/>
        </w:rPr>
        <w:t>57</w:t>
      </w:r>
      <w:r w:rsidR="00F24B9A" w:rsidRPr="00F24B9A">
        <w:rPr>
          <w:color w:val="000000" w:themeColor="text1"/>
          <w:sz w:val="24"/>
          <w:szCs w:val="24"/>
          <w:lang w:val="en-GB"/>
        </w:rPr>
        <w:fldChar w:fldCharType="end"/>
      </w:r>
      <w:r w:rsidRPr="00F24B9A">
        <w:rPr>
          <w:color w:val="000000" w:themeColor="text1"/>
          <w:sz w:val="24"/>
          <w:szCs w:val="24"/>
          <w:lang w:val="en-GB"/>
        </w:rPr>
        <w:t xml:space="preserve"> outlines that in response to the Government’s Local Water Done Well reforms, the Council has decided to establish a wholly owned water organisation to deliver water </w:t>
      </w:r>
      <w:r w:rsidRPr="00984629">
        <w:rPr>
          <w:sz w:val="24"/>
          <w:szCs w:val="24"/>
          <w:lang w:val="en-GB"/>
        </w:rPr>
        <w:t>services from 1 July 2027. At the time of adopting the Annual Report the Secretary for Local Government has not confirmed acceptance of the Council’s water services delivery plan (WSDP) proposal, meaning there is some uncertainty if changes may be required.</w:t>
      </w:r>
    </w:p>
    <w:p w14:paraId="2B76A14D" w14:textId="147E2E48" w:rsidR="00984629" w:rsidRPr="00984629" w:rsidRDefault="00984629" w:rsidP="00984629">
      <w:pPr>
        <w:pStyle w:val="ListParagraph"/>
        <w:numPr>
          <w:ilvl w:val="0"/>
          <w:numId w:val="41"/>
        </w:numPr>
        <w:rPr>
          <w:sz w:val="24"/>
          <w:szCs w:val="24"/>
          <w:lang w:val="en-GB"/>
        </w:rPr>
      </w:pPr>
      <w:r w:rsidRPr="00984629">
        <w:rPr>
          <w:sz w:val="24"/>
          <w:szCs w:val="24"/>
          <w:lang w:val="en-GB"/>
        </w:rPr>
        <w:t xml:space="preserve">Uncertainties relating to the Lot 6 provision estimation (Group </w:t>
      </w:r>
      <w:r w:rsidRPr="00F24B9A">
        <w:rPr>
          <w:color w:val="000000" w:themeColor="text1"/>
          <w:sz w:val="24"/>
          <w:szCs w:val="24"/>
          <w:lang w:val="en-GB"/>
        </w:rPr>
        <w:t xml:space="preserve">only). Page </w:t>
      </w:r>
      <w:r w:rsidR="00F24B9A" w:rsidRPr="00F24B9A">
        <w:rPr>
          <w:color w:val="000000" w:themeColor="text1"/>
          <w:sz w:val="24"/>
          <w:szCs w:val="24"/>
          <w:lang w:val="en-GB"/>
        </w:rPr>
        <w:fldChar w:fldCharType="begin"/>
      </w:r>
      <w:r w:rsidR="00F24B9A" w:rsidRPr="00F24B9A">
        <w:rPr>
          <w:color w:val="000000" w:themeColor="text1"/>
          <w:sz w:val="24"/>
          <w:szCs w:val="24"/>
          <w:lang w:val="en-GB"/>
        </w:rPr>
        <w:instrText xml:space="preserve"> PAGEREF _Ref211422516 \h </w:instrText>
      </w:r>
      <w:r w:rsidR="00F24B9A" w:rsidRPr="00F24B9A">
        <w:rPr>
          <w:color w:val="000000" w:themeColor="text1"/>
          <w:sz w:val="24"/>
          <w:szCs w:val="24"/>
          <w:lang w:val="en-GB"/>
        </w:rPr>
      </w:r>
      <w:r w:rsidR="00F24B9A" w:rsidRPr="00F24B9A">
        <w:rPr>
          <w:color w:val="000000" w:themeColor="text1"/>
          <w:sz w:val="24"/>
          <w:szCs w:val="24"/>
          <w:lang w:val="en-GB"/>
        </w:rPr>
        <w:fldChar w:fldCharType="separate"/>
      </w:r>
      <w:r w:rsidR="00F24B9A" w:rsidRPr="00F24B9A">
        <w:rPr>
          <w:noProof/>
          <w:color w:val="000000" w:themeColor="text1"/>
          <w:sz w:val="24"/>
          <w:szCs w:val="24"/>
          <w:lang w:val="en-GB"/>
        </w:rPr>
        <w:t>5</w:t>
      </w:r>
      <w:r w:rsidR="00F24B9A" w:rsidRPr="00F24B9A">
        <w:rPr>
          <w:noProof/>
          <w:color w:val="000000" w:themeColor="text1"/>
          <w:sz w:val="24"/>
          <w:szCs w:val="24"/>
          <w:lang w:val="en-GB"/>
        </w:rPr>
        <w:t>9</w:t>
      </w:r>
      <w:r w:rsidR="00F24B9A" w:rsidRPr="00F24B9A">
        <w:rPr>
          <w:color w:val="000000" w:themeColor="text1"/>
          <w:sz w:val="24"/>
          <w:szCs w:val="24"/>
          <w:lang w:val="en-GB"/>
        </w:rPr>
        <w:fldChar w:fldCharType="end"/>
      </w:r>
      <w:r w:rsidR="00F24B9A" w:rsidRPr="00F24B9A">
        <w:rPr>
          <w:color w:val="000000" w:themeColor="text1"/>
          <w:sz w:val="24"/>
          <w:szCs w:val="24"/>
          <w:lang w:val="en-GB"/>
        </w:rPr>
        <w:t xml:space="preserve"> </w:t>
      </w:r>
      <w:r w:rsidRPr="00F24B9A">
        <w:rPr>
          <w:color w:val="000000" w:themeColor="text1"/>
          <w:sz w:val="24"/>
          <w:szCs w:val="24"/>
          <w:lang w:val="en-GB"/>
        </w:rPr>
        <w:t xml:space="preserve">outlines that there is a high level of uncertainty in estimating any additional compensation that may be required to settle the ongoing dispute in </w:t>
      </w:r>
      <w:r w:rsidRPr="00984629">
        <w:rPr>
          <w:sz w:val="24"/>
          <w:szCs w:val="24"/>
          <w:lang w:val="en-GB"/>
        </w:rPr>
        <w:t xml:space="preserve">relation to the compulsory acquisition of Lot 6. QAC has recognised a provision which represents potential cash payments determined based on independent external valuations as </w:t>
      </w:r>
      <w:proofErr w:type="gramStart"/>
      <w:r w:rsidRPr="00984629">
        <w:rPr>
          <w:sz w:val="24"/>
          <w:szCs w:val="24"/>
          <w:lang w:val="en-GB"/>
        </w:rPr>
        <w:t>at</w:t>
      </w:r>
      <w:proofErr w:type="gramEnd"/>
      <w:r w:rsidRPr="00984629">
        <w:rPr>
          <w:sz w:val="24"/>
          <w:szCs w:val="24"/>
          <w:lang w:val="en-GB"/>
        </w:rPr>
        <w:t xml:space="preserve"> 30 June 2025. The Land Valuation Tribunal (LVT) hearing in relation to Lot 6 concluded in April 2025, with a decision on the compensation payable still to be released. Additional compensation may be </w:t>
      </w:r>
      <w:proofErr w:type="gramStart"/>
      <w:r w:rsidRPr="00984629">
        <w:rPr>
          <w:sz w:val="24"/>
          <w:szCs w:val="24"/>
          <w:lang w:val="en-GB"/>
        </w:rPr>
        <w:t>in excess of</w:t>
      </w:r>
      <w:proofErr w:type="gramEnd"/>
      <w:r w:rsidRPr="00984629">
        <w:rPr>
          <w:sz w:val="24"/>
          <w:szCs w:val="24"/>
          <w:lang w:val="en-GB"/>
        </w:rPr>
        <w:t xml:space="preserve"> the provision recognised.</w:t>
      </w:r>
    </w:p>
    <w:p w14:paraId="0116E024" w14:textId="77777777" w:rsidR="00984629" w:rsidRPr="00984629" w:rsidRDefault="00984629" w:rsidP="00984629">
      <w:pPr>
        <w:rPr>
          <w:sz w:val="24"/>
          <w:szCs w:val="24"/>
          <w:lang w:val="en-GB"/>
        </w:rPr>
      </w:pPr>
      <w:r w:rsidRPr="00984629">
        <w:rPr>
          <w:b/>
          <w:bCs/>
          <w:sz w:val="24"/>
          <w:szCs w:val="24"/>
          <w:lang w:val="en-GB"/>
        </w:rPr>
        <w:t>Council’s responsibility for the summary of the annual report</w:t>
      </w:r>
    </w:p>
    <w:p w14:paraId="65A17E65" w14:textId="6FFA6766" w:rsidR="00984629" w:rsidRPr="00984629" w:rsidRDefault="00984629" w:rsidP="00984629">
      <w:pPr>
        <w:rPr>
          <w:sz w:val="24"/>
          <w:szCs w:val="24"/>
          <w:lang w:val="en-GB"/>
        </w:rPr>
      </w:pPr>
      <w:r w:rsidRPr="00984629">
        <w:rPr>
          <w:sz w:val="24"/>
          <w:szCs w:val="24"/>
          <w:lang w:val="en-GB"/>
        </w:rPr>
        <w:t xml:space="preserve">The Council is responsible for preparing the summary of the annual report which includes preparing summary statements, in accordance with PBE FRS-43: </w:t>
      </w:r>
      <w:r w:rsidRPr="00984629">
        <w:rPr>
          <w:i/>
          <w:iCs/>
          <w:sz w:val="24"/>
          <w:szCs w:val="24"/>
          <w:lang w:val="en-GB"/>
        </w:rPr>
        <w:t>Summary Financial Statements.</w:t>
      </w:r>
    </w:p>
    <w:p w14:paraId="7F7AE72B" w14:textId="77777777" w:rsidR="00984629" w:rsidRPr="00984629" w:rsidRDefault="00984629" w:rsidP="00984629">
      <w:pPr>
        <w:rPr>
          <w:sz w:val="24"/>
          <w:szCs w:val="24"/>
          <w:lang w:val="en-GB"/>
        </w:rPr>
      </w:pPr>
      <w:r w:rsidRPr="00984629">
        <w:rPr>
          <w:b/>
          <w:bCs/>
          <w:sz w:val="24"/>
          <w:szCs w:val="24"/>
          <w:lang w:val="en-GB"/>
        </w:rPr>
        <w:t>Auditor’s responsibility</w:t>
      </w:r>
    </w:p>
    <w:p w14:paraId="2903594E" w14:textId="77777777" w:rsidR="00984629" w:rsidRPr="00984629" w:rsidRDefault="00984629" w:rsidP="00984629">
      <w:pPr>
        <w:rPr>
          <w:sz w:val="24"/>
          <w:szCs w:val="24"/>
          <w:lang w:val="en-GB"/>
        </w:rPr>
      </w:pPr>
      <w:r w:rsidRPr="00984629">
        <w:rPr>
          <w:sz w:val="24"/>
          <w:szCs w:val="24"/>
          <w:lang w:val="en-GB"/>
        </w:rPr>
        <w:t xml:space="preserve">Our responsibility is to express an opinion on whether the summary of the annual report represents, fairly and consistently, the information regarding the major matters dealt with in the full annual report and whether the summary statements comply with PBE FRS 43: </w:t>
      </w:r>
      <w:r w:rsidRPr="00984629">
        <w:rPr>
          <w:i/>
          <w:iCs/>
          <w:sz w:val="24"/>
          <w:szCs w:val="24"/>
          <w:lang w:val="en-GB"/>
        </w:rPr>
        <w:t>Summary Financial Statements.</w:t>
      </w:r>
    </w:p>
    <w:p w14:paraId="0085C268" w14:textId="77777777" w:rsidR="00984629" w:rsidRPr="00984629" w:rsidRDefault="00984629" w:rsidP="00984629">
      <w:pPr>
        <w:rPr>
          <w:sz w:val="24"/>
          <w:szCs w:val="24"/>
          <w:lang w:val="en-GB"/>
        </w:rPr>
      </w:pPr>
      <w:r w:rsidRPr="00984629">
        <w:rPr>
          <w:sz w:val="24"/>
          <w:szCs w:val="24"/>
          <w:lang w:val="en-GB"/>
        </w:rPr>
        <w:t>Our opinion on the summary of the annual report is based on our procedures, which were carried out in accordance with the Auditor-General’s Auditing Standards, which incorporate the Professional and Ethical Standards and the International Standards on Auditing (New Zealand) issued by the New Zealand Auditing and Assurance Standards Board.</w:t>
      </w:r>
    </w:p>
    <w:p w14:paraId="267FC4AF" w14:textId="77777777" w:rsidR="00984629" w:rsidRDefault="00984629" w:rsidP="00984629">
      <w:pPr>
        <w:rPr>
          <w:sz w:val="24"/>
          <w:szCs w:val="24"/>
          <w:lang w:val="en-GB"/>
        </w:rPr>
      </w:pPr>
      <w:r w:rsidRPr="00984629">
        <w:rPr>
          <w:sz w:val="24"/>
          <w:szCs w:val="24"/>
          <w:lang w:val="en-GB"/>
        </w:rPr>
        <w:t xml:space="preserve">In addition to the </w:t>
      </w:r>
      <w:proofErr w:type="gramStart"/>
      <w:r w:rsidRPr="00984629">
        <w:rPr>
          <w:sz w:val="24"/>
          <w:szCs w:val="24"/>
          <w:lang w:val="en-GB"/>
        </w:rPr>
        <w:t>audit</w:t>
      </w:r>
      <w:proofErr w:type="gramEnd"/>
      <w:r w:rsidRPr="00984629">
        <w:rPr>
          <w:sz w:val="24"/>
          <w:szCs w:val="24"/>
          <w:lang w:val="en-GB"/>
        </w:rPr>
        <w:t xml:space="preserve"> we have carried out engagements in the areas of assurance services relating to reporting under the trust deed, a registry audit, a regulatory disclosure audit, a </w:t>
      </w:r>
      <w:proofErr w:type="gramStart"/>
      <w:r w:rsidRPr="00984629">
        <w:rPr>
          <w:sz w:val="24"/>
          <w:szCs w:val="24"/>
          <w:lang w:val="en-GB"/>
        </w:rPr>
        <w:t>long term</w:t>
      </w:r>
      <w:proofErr w:type="gramEnd"/>
      <w:r w:rsidRPr="00984629">
        <w:rPr>
          <w:sz w:val="24"/>
          <w:szCs w:val="24"/>
          <w:lang w:val="en-GB"/>
        </w:rPr>
        <w:t xml:space="preserve"> plan audit and an agreed upon procedure for sustainability linked loans, which are compatible with the independence requirements. Other than the audit, our report on the disclosure requirements, and these engagements, we have no relationship with, or interests in, the Council or its subsidiaries and controlled entities.</w:t>
      </w:r>
    </w:p>
    <w:p w14:paraId="4BEF3EB6" w14:textId="69CFF9AE" w:rsidR="00986758" w:rsidRDefault="00986758" w:rsidP="00984629">
      <w:pPr>
        <w:rPr>
          <w:sz w:val="24"/>
          <w:szCs w:val="24"/>
          <w:lang w:val="en-GB"/>
        </w:rPr>
      </w:pPr>
      <w:r w:rsidRPr="00986758">
        <w:rPr>
          <w:noProof/>
          <w:sz w:val="24"/>
          <w:szCs w:val="24"/>
          <w:lang w:val="en-GB"/>
        </w:rPr>
        <w:lastRenderedPageBreak/>
        <w:drawing>
          <wp:inline distT="0" distB="0" distL="0" distR="0" wp14:anchorId="6AAA87E3" wp14:editId="7A29BA19">
            <wp:extent cx="1816925" cy="982541"/>
            <wp:effectExtent l="0" t="0" r="0" b="8255"/>
            <wp:docPr id="89419457" name="Picture 1" descr="Heidi Rautjok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9457" name="Picture 1" descr="Heidi Rautjoki signature"/>
                    <pic:cNvPicPr/>
                  </pic:nvPicPr>
                  <pic:blipFill>
                    <a:blip r:embed="rId25"/>
                    <a:stretch>
                      <a:fillRect/>
                    </a:stretch>
                  </pic:blipFill>
                  <pic:spPr>
                    <a:xfrm>
                      <a:off x="0" y="0"/>
                      <a:ext cx="1842673" cy="996465"/>
                    </a:xfrm>
                    <a:prstGeom prst="rect">
                      <a:avLst/>
                    </a:prstGeom>
                  </pic:spPr>
                </pic:pic>
              </a:graphicData>
            </a:graphic>
          </wp:inline>
        </w:drawing>
      </w:r>
    </w:p>
    <w:p w14:paraId="5710C089" w14:textId="57025C14" w:rsidR="00BE701A" w:rsidRDefault="00984629" w:rsidP="00984629">
      <w:pPr>
        <w:rPr>
          <w:sz w:val="24"/>
          <w:szCs w:val="24"/>
          <w:lang w:val="en-GB"/>
        </w:rPr>
      </w:pPr>
      <w:r w:rsidRPr="00984629">
        <w:rPr>
          <w:sz w:val="24"/>
          <w:szCs w:val="24"/>
          <w:lang w:val="en-GB"/>
        </w:rPr>
        <w:t>Heidi Rautjoki,</w:t>
      </w:r>
      <w:r w:rsidRPr="00984629">
        <w:rPr>
          <w:sz w:val="24"/>
          <w:szCs w:val="24"/>
          <w:lang w:val="en-GB"/>
        </w:rPr>
        <w:br/>
      </w:r>
      <w:r w:rsidRPr="00984629">
        <w:rPr>
          <w:b/>
          <w:bCs/>
          <w:sz w:val="24"/>
          <w:szCs w:val="24"/>
          <w:lang w:val="en-GB"/>
        </w:rPr>
        <w:t>Partner</w:t>
      </w:r>
      <w:r w:rsidR="00986758">
        <w:rPr>
          <w:b/>
          <w:bCs/>
          <w:sz w:val="24"/>
          <w:szCs w:val="24"/>
          <w:lang w:val="en-GB"/>
        </w:rPr>
        <w:t xml:space="preserve"> </w:t>
      </w:r>
      <w:r w:rsidRPr="00984629">
        <w:rPr>
          <w:b/>
          <w:bCs/>
          <w:sz w:val="24"/>
          <w:szCs w:val="24"/>
          <w:lang w:val="en-GB"/>
        </w:rPr>
        <w:t>for Deloitte Limited</w:t>
      </w:r>
      <w:r w:rsidRPr="00984629">
        <w:rPr>
          <w:b/>
          <w:bCs/>
          <w:sz w:val="24"/>
          <w:szCs w:val="24"/>
          <w:lang w:val="en-GB"/>
        </w:rPr>
        <w:br/>
        <w:t xml:space="preserve">On behalf of the Auditor-General </w:t>
      </w:r>
      <w:r w:rsidRPr="00984629">
        <w:rPr>
          <w:b/>
          <w:bCs/>
          <w:sz w:val="24"/>
          <w:szCs w:val="24"/>
          <w:lang w:val="en-GB"/>
        </w:rPr>
        <w:br/>
        <w:t>Dunedin, New Zealand</w:t>
      </w:r>
      <w:r w:rsidRPr="00984629">
        <w:rPr>
          <w:b/>
          <w:bCs/>
          <w:sz w:val="24"/>
          <w:szCs w:val="24"/>
          <w:lang w:val="en-GB"/>
        </w:rPr>
        <w:br/>
      </w:r>
      <w:r w:rsidRPr="00984629">
        <w:rPr>
          <w:sz w:val="24"/>
          <w:szCs w:val="24"/>
          <w:lang w:val="en-GB"/>
        </w:rPr>
        <w:t>9 October 2025</w:t>
      </w:r>
    </w:p>
    <w:p w14:paraId="10935AE9" w14:textId="77777777" w:rsidR="00BE701A" w:rsidRDefault="00BE701A">
      <w:pPr>
        <w:rPr>
          <w:sz w:val="24"/>
          <w:szCs w:val="24"/>
          <w:lang w:val="en-GB"/>
        </w:rPr>
      </w:pPr>
      <w:r>
        <w:rPr>
          <w:sz w:val="24"/>
          <w:szCs w:val="24"/>
          <w:lang w:val="en-GB"/>
        </w:rPr>
        <w:br w:type="page"/>
      </w:r>
    </w:p>
    <w:p w14:paraId="39185966" w14:textId="73CBBE3D" w:rsidR="00BE701A" w:rsidRPr="00BE701A" w:rsidRDefault="00BE701A" w:rsidP="00BE701A">
      <w:pPr>
        <w:pStyle w:val="Heading1"/>
        <w:rPr>
          <w:lang w:val="en-GB"/>
        </w:rPr>
      </w:pPr>
      <w:bookmarkStart w:id="70" w:name="_Toc211422678"/>
      <w:r w:rsidRPr="00BE701A">
        <w:rPr>
          <w:lang w:val="en-GB"/>
        </w:rPr>
        <w:lastRenderedPageBreak/>
        <w:t>There is so much more we want to tell you</w:t>
      </w:r>
      <w:bookmarkEnd w:id="70"/>
    </w:p>
    <w:p w14:paraId="7DC8044C" w14:textId="5FD4702F" w:rsidR="00BE701A" w:rsidRPr="00984629" w:rsidRDefault="00BE701A" w:rsidP="00BE701A">
      <w:pPr>
        <w:rPr>
          <w:sz w:val="24"/>
          <w:szCs w:val="24"/>
          <w:lang w:val="en-GB"/>
        </w:rPr>
      </w:pPr>
      <w:r w:rsidRPr="00BE701A">
        <w:rPr>
          <w:sz w:val="24"/>
          <w:szCs w:val="24"/>
          <w:lang w:val="en-GB"/>
        </w:rPr>
        <w:t xml:space="preserve">Read the full Annual Report 2023-24 at </w:t>
      </w:r>
      <w:hyperlink r:id="rId26" w:history="1">
        <w:r w:rsidRPr="005679ED">
          <w:rPr>
            <w:rStyle w:val="Hyperlink"/>
            <w:sz w:val="24"/>
            <w:szCs w:val="24"/>
            <w:lang w:val="en-GB"/>
          </w:rPr>
          <w:t>www.qldc.govt.nz</w:t>
        </w:r>
      </w:hyperlink>
    </w:p>
    <w:sectPr w:rsidR="00BE701A" w:rsidRPr="00984629">
      <w:footerReference w:type="default" r:id="rId2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412B" w14:textId="77777777" w:rsidR="00F877A3" w:rsidRDefault="00F877A3" w:rsidP="00F877A3">
      <w:pPr>
        <w:spacing w:after="0" w:line="240" w:lineRule="auto"/>
      </w:pPr>
      <w:r>
        <w:separator/>
      </w:r>
    </w:p>
  </w:endnote>
  <w:endnote w:type="continuationSeparator" w:id="0">
    <w:p w14:paraId="5A37DE44" w14:textId="77777777" w:rsidR="00F877A3" w:rsidRDefault="00F877A3" w:rsidP="00F877A3">
      <w:pPr>
        <w:spacing w:after="0" w:line="240" w:lineRule="auto"/>
      </w:pPr>
      <w:r>
        <w:continuationSeparator/>
      </w:r>
    </w:p>
  </w:endnote>
  <w:endnote w:type="continuationNotice" w:id="1">
    <w:p w14:paraId="14F353D8" w14:textId="77777777" w:rsidR="00076EA2" w:rsidRDefault="00076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827100"/>
      <w:docPartObj>
        <w:docPartGallery w:val="Page Numbers (Bottom of Page)"/>
        <w:docPartUnique/>
      </w:docPartObj>
    </w:sdtPr>
    <w:sdtEndPr>
      <w:rPr>
        <w:noProof/>
      </w:rPr>
    </w:sdtEndPr>
    <w:sdtContent>
      <w:p w14:paraId="1242C687" w14:textId="50B23275" w:rsidR="00F877A3" w:rsidRPr="00E641B6" w:rsidRDefault="00A76510">
        <w:pPr>
          <w:pStyle w:val="Footer"/>
          <w:rPr>
            <w:sz w:val="24"/>
          </w:rPr>
        </w:pPr>
        <w:r>
          <w:rPr>
            <w:noProof/>
          </w:rPr>
          <w:drawing>
            <wp:anchor distT="0" distB="0" distL="114300" distR="114300" simplePos="0" relativeHeight="251658240" behindDoc="1" locked="0" layoutInCell="1" allowOverlap="1" wp14:anchorId="2C77D329" wp14:editId="1D1896AD">
              <wp:simplePos x="0" y="0"/>
              <wp:positionH relativeFrom="column">
                <wp:posOffset>4953000</wp:posOffset>
              </wp:positionH>
              <wp:positionV relativeFrom="paragraph">
                <wp:posOffset>-72228</wp:posOffset>
              </wp:positionV>
              <wp:extent cx="1207456" cy="345886"/>
              <wp:effectExtent l="0" t="0" r="0" b="0"/>
              <wp:wrapNone/>
              <wp:docPr id="864615351" name="Picture 8" descr="QL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82219" name="Picture 8" descr="QLDC logo."/>
                      <pic:cNvPicPr/>
                    </pic:nvPicPr>
                    <pic:blipFill>
                      <a:blip r:embed="rId1">
                        <a:extLst>
                          <a:ext uri="{28A0092B-C50C-407E-A947-70E740481C1C}">
                            <a14:useLocalDpi xmlns:a14="http://schemas.microsoft.com/office/drawing/2010/main" val="0"/>
                          </a:ext>
                        </a:extLst>
                      </a:blip>
                      <a:stretch>
                        <a:fillRect/>
                      </a:stretch>
                    </pic:blipFill>
                    <pic:spPr>
                      <a:xfrm>
                        <a:off x="0" y="0"/>
                        <a:ext cx="1207456" cy="345886"/>
                      </a:xfrm>
                      <a:prstGeom prst="rect">
                        <a:avLst/>
                      </a:prstGeom>
                    </pic:spPr>
                  </pic:pic>
                </a:graphicData>
              </a:graphic>
              <wp14:sizeRelH relativeFrom="page">
                <wp14:pctWidth>0</wp14:pctWidth>
              </wp14:sizeRelH>
              <wp14:sizeRelV relativeFrom="page">
                <wp14:pctHeight>0</wp14:pctHeight>
              </wp14:sizeRelV>
            </wp:anchor>
          </w:drawing>
        </w:r>
        <w:r w:rsidR="00F877A3" w:rsidRPr="00F877A3">
          <w:rPr>
            <w:sz w:val="16"/>
            <w:szCs w:val="16"/>
          </w:rPr>
          <w:t xml:space="preserve">Page | </w:t>
        </w:r>
        <w:r w:rsidR="00F877A3" w:rsidRPr="00F877A3">
          <w:rPr>
            <w:sz w:val="16"/>
            <w:szCs w:val="16"/>
          </w:rPr>
          <w:fldChar w:fldCharType="begin"/>
        </w:r>
        <w:r w:rsidR="00F877A3" w:rsidRPr="00F877A3">
          <w:rPr>
            <w:sz w:val="16"/>
            <w:szCs w:val="16"/>
          </w:rPr>
          <w:instrText xml:space="preserve"> PAGE   \* MERGEFORMAT </w:instrText>
        </w:r>
        <w:r w:rsidR="00F877A3" w:rsidRPr="00F877A3">
          <w:rPr>
            <w:sz w:val="16"/>
            <w:szCs w:val="16"/>
          </w:rPr>
          <w:fldChar w:fldCharType="separate"/>
        </w:r>
        <w:r w:rsidR="00F877A3" w:rsidRPr="00F877A3">
          <w:rPr>
            <w:noProof/>
            <w:sz w:val="16"/>
            <w:szCs w:val="16"/>
          </w:rPr>
          <w:t>2</w:t>
        </w:r>
        <w:r w:rsidR="00F877A3" w:rsidRPr="00F877A3">
          <w:rPr>
            <w:noProof/>
            <w:sz w:val="16"/>
            <w:szCs w:val="16"/>
          </w:rPr>
          <w:fldChar w:fldCharType="end"/>
        </w:r>
      </w:p>
    </w:sdtContent>
  </w:sdt>
  <w:p w14:paraId="12715AAF" w14:textId="577841AE" w:rsidR="00F877A3" w:rsidRPr="005F017C" w:rsidRDefault="005F017C">
    <w:pPr>
      <w:pStyle w:val="Footer"/>
      <w:rPr>
        <w:sz w:val="16"/>
        <w:szCs w:val="16"/>
      </w:rPr>
    </w:pPr>
    <w:r w:rsidRPr="005F017C">
      <w:rPr>
        <w:sz w:val="16"/>
        <w:szCs w:val="16"/>
      </w:rPr>
      <w:t>Annual Report Summary 2024-2025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D8652" w14:textId="77777777" w:rsidR="00F877A3" w:rsidRDefault="00F877A3" w:rsidP="00F877A3">
      <w:pPr>
        <w:spacing w:after="0" w:line="240" w:lineRule="auto"/>
      </w:pPr>
      <w:r>
        <w:separator/>
      </w:r>
    </w:p>
  </w:footnote>
  <w:footnote w:type="continuationSeparator" w:id="0">
    <w:p w14:paraId="4479FD2A" w14:textId="77777777" w:rsidR="00F877A3" w:rsidRDefault="00F877A3" w:rsidP="00F877A3">
      <w:pPr>
        <w:spacing w:after="0" w:line="240" w:lineRule="auto"/>
      </w:pPr>
      <w:r>
        <w:continuationSeparator/>
      </w:r>
    </w:p>
  </w:footnote>
  <w:footnote w:type="continuationNotice" w:id="1">
    <w:p w14:paraId="5E952C71" w14:textId="77777777" w:rsidR="00076EA2" w:rsidRDefault="00076EA2">
      <w:pPr>
        <w:spacing w:after="0" w:line="240" w:lineRule="auto"/>
      </w:pPr>
    </w:p>
  </w:footnote>
  <w:footnote w:id="2">
    <w:p w14:paraId="4A85756E" w14:textId="32808490" w:rsidR="00F0605C" w:rsidRPr="00F0605C" w:rsidRDefault="00BA79BF">
      <w:pPr>
        <w:pStyle w:val="FootnoteText"/>
        <w:rPr>
          <w:lang w:val="en-GB"/>
        </w:rPr>
      </w:pPr>
      <w:r w:rsidRPr="00F0605C">
        <w:rPr>
          <w:rStyle w:val="FootnoteReference"/>
        </w:rPr>
        <w:footnoteRef/>
      </w:r>
      <w:r w:rsidRPr="00F0605C">
        <w:t xml:space="preserve"> </w:t>
      </w:r>
      <w:r w:rsidRPr="00F0605C">
        <w:rPr>
          <w:lang w:val="en-GB"/>
        </w:rPr>
        <w:t xml:space="preserve">Unless otherwise indicated statistics are from Stats NZ: </w:t>
      </w:r>
      <w:hyperlink r:id="rId1" w:history="1">
        <w:r w:rsidR="00F0605C" w:rsidRPr="005679ED">
          <w:rPr>
            <w:rStyle w:val="Hyperlink"/>
            <w:lang w:val="en-GB"/>
          </w:rPr>
          <w:t>https://tools.summaries.stats.govt.nz/places/TA/queenstown-lakes-district/</w:t>
        </w:r>
      </w:hyperlink>
    </w:p>
  </w:footnote>
  <w:footnote w:id="3">
    <w:p w14:paraId="2B20858B" w14:textId="43997B09" w:rsidR="00F0605C" w:rsidRPr="00F0605C" w:rsidRDefault="005E1AB7">
      <w:pPr>
        <w:pStyle w:val="FootnoteText"/>
        <w:rPr>
          <w:lang w:val="en-GB"/>
        </w:rPr>
      </w:pPr>
      <w:r w:rsidRPr="00F0605C">
        <w:rPr>
          <w:rStyle w:val="FootnoteReference"/>
        </w:rPr>
        <w:footnoteRef/>
      </w:r>
      <w:r w:rsidRPr="00F0605C">
        <w:t xml:space="preserve"> </w:t>
      </w:r>
      <w:r w:rsidRPr="00F0605C">
        <w:rPr>
          <w:lang w:val="en-GB"/>
        </w:rPr>
        <w:t xml:space="preserve">Economic Diversification Plan: </w:t>
      </w:r>
      <w:hyperlink r:id="rId2" w:history="1">
        <w:r w:rsidR="00F0605C" w:rsidRPr="005679ED">
          <w:rPr>
            <w:rStyle w:val="Hyperlink"/>
            <w:lang w:val="en-GB"/>
          </w:rPr>
          <w:t>https://www.qldc.govt.nz/media/hmvpntis/queenstown-lakes-economic-diversification-plan_final.pdf</w:t>
        </w:r>
      </w:hyperlink>
    </w:p>
  </w:footnote>
  <w:footnote w:id="4">
    <w:p w14:paraId="3292240D" w14:textId="44517ED3" w:rsidR="00F0605C" w:rsidRPr="00F0605C" w:rsidRDefault="00840690">
      <w:pPr>
        <w:pStyle w:val="FootnoteText"/>
        <w:rPr>
          <w:lang w:val="en-GB"/>
        </w:rPr>
      </w:pPr>
      <w:r w:rsidRPr="00F0605C">
        <w:rPr>
          <w:rStyle w:val="FootnoteReference"/>
        </w:rPr>
        <w:footnoteRef/>
      </w:r>
      <w:r w:rsidRPr="00F0605C">
        <w:t xml:space="preserve"> </w:t>
      </w:r>
      <w:r w:rsidRPr="00F0605C">
        <w:rPr>
          <w:lang w:val="en-GB"/>
        </w:rPr>
        <w:t xml:space="preserve">Economic Diversification Plan: </w:t>
      </w:r>
      <w:hyperlink r:id="rId3" w:history="1">
        <w:r w:rsidR="00F0605C" w:rsidRPr="005679ED">
          <w:rPr>
            <w:rStyle w:val="Hyperlink"/>
            <w:lang w:val="en-GB"/>
          </w:rPr>
          <w:t>https://www.qldc.govt.nz/media/hmvpntis/queenstown-lakes-economic-diversification-plan_final.pdf</w:t>
        </w:r>
      </w:hyperlink>
    </w:p>
  </w:footnote>
  <w:footnote w:id="5">
    <w:p w14:paraId="616198BE" w14:textId="66B2C72B" w:rsidR="00F0605C" w:rsidRPr="00F0605C" w:rsidRDefault="00033DC6">
      <w:pPr>
        <w:pStyle w:val="FootnoteText"/>
        <w:rPr>
          <w:lang w:val="en-GB"/>
        </w:rPr>
      </w:pPr>
      <w:r w:rsidRPr="00F0605C">
        <w:rPr>
          <w:rStyle w:val="FootnoteReference"/>
        </w:rPr>
        <w:footnoteRef/>
      </w:r>
      <w:r w:rsidRPr="00F0605C">
        <w:t xml:space="preserve"> </w:t>
      </w:r>
      <w:hyperlink r:id="rId4" w:history="1">
        <w:r w:rsidR="00F0605C" w:rsidRPr="005679ED">
          <w:rPr>
            <w:rStyle w:val="Hyperlink"/>
            <w:lang w:val="en-GB"/>
          </w:rPr>
          <w:t>https://tools.summaries.stats.govt.nz/places/TA/queenstown-lakes-district</w:t>
        </w:r>
      </w:hyperlink>
    </w:p>
  </w:footnote>
  <w:footnote w:id="6">
    <w:p w14:paraId="6C5FDB6B" w14:textId="7A4FF1E4" w:rsidR="00F0605C" w:rsidRPr="00F0605C" w:rsidRDefault="00572B47">
      <w:pPr>
        <w:pStyle w:val="FootnoteText"/>
        <w:rPr>
          <w:lang w:val="en-GB"/>
        </w:rPr>
      </w:pPr>
      <w:r w:rsidRPr="00F0605C">
        <w:rPr>
          <w:rStyle w:val="FootnoteReference"/>
        </w:rPr>
        <w:footnoteRef/>
      </w:r>
      <w:r w:rsidRPr="00F0605C">
        <w:t xml:space="preserve"> </w:t>
      </w:r>
      <w:hyperlink r:id="rId5" w:anchor="quality-of-life" w:history="1">
        <w:r w:rsidR="00F0605C" w:rsidRPr="005679ED">
          <w:rPr>
            <w:rStyle w:val="Hyperlink"/>
            <w:lang w:val="en-GB"/>
          </w:rPr>
          <w:t>https://www.qldc.govt.nz/community/community-research#quality-of-life</w:t>
        </w:r>
      </w:hyperlink>
    </w:p>
  </w:footnote>
  <w:footnote w:id="7">
    <w:p w14:paraId="5926F283" w14:textId="5BC9EDDE" w:rsidR="00F0605C" w:rsidRPr="00F0605C" w:rsidRDefault="00572B47">
      <w:pPr>
        <w:pStyle w:val="FootnoteText"/>
        <w:rPr>
          <w:lang w:val="en-GB"/>
        </w:rPr>
      </w:pPr>
      <w:r w:rsidRPr="00F0605C">
        <w:rPr>
          <w:rStyle w:val="FootnoteReference"/>
        </w:rPr>
        <w:footnoteRef/>
      </w:r>
      <w:r w:rsidRPr="00F0605C">
        <w:t xml:space="preserve"> </w:t>
      </w:r>
      <w:hyperlink r:id="rId6" w:anchor="quality-of-life" w:history="1">
        <w:r w:rsidR="00F0605C" w:rsidRPr="005679ED">
          <w:rPr>
            <w:rStyle w:val="Hyperlink"/>
            <w:lang w:val="en-GB"/>
          </w:rPr>
          <w:t>https://www.qldc.govt.nz/community/community-research#quality-of-life</w:t>
        </w:r>
      </w:hyperlink>
    </w:p>
  </w:footnote>
  <w:footnote w:id="8">
    <w:p w14:paraId="4EB866F9" w14:textId="48F92E02" w:rsidR="00F0605C" w:rsidRPr="00F0605C" w:rsidRDefault="00572B47">
      <w:pPr>
        <w:pStyle w:val="FootnoteText"/>
        <w:rPr>
          <w:lang w:val="en-GB"/>
        </w:rPr>
      </w:pPr>
      <w:r w:rsidRPr="00F0605C">
        <w:rPr>
          <w:rStyle w:val="FootnoteReference"/>
        </w:rPr>
        <w:footnoteRef/>
      </w:r>
      <w:r w:rsidRPr="00F0605C">
        <w:t xml:space="preserve"> </w:t>
      </w:r>
      <w:r w:rsidRPr="00F0605C">
        <w:rPr>
          <w:lang w:val="en-GB"/>
        </w:rPr>
        <w:t xml:space="preserve">QLDC Demand Projections 2025: </w:t>
      </w:r>
      <w:hyperlink r:id="rId7" w:history="1">
        <w:r w:rsidR="00F0605C" w:rsidRPr="005679ED">
          <w:rPr>
            <w:rStyle w:val="Hyperlink"/>
            <w:lang w:val="en-GB"/>
          </w:rPr>
          <w:t>https://www.qldc.govt.nz/community/population-and-demand/</w:t>
        </w:r>
      </w:hyperlink>
    </w:p>
  </w:footnote>
  <w:footnote w:id="9">
    <w:p w14:paraId="15D4DA92" w14:textId="18C3F884" w:rsidR="00F0605C" w:rsidRPr="00F0605C" w:rsidRDefault="00A13CB7">
      <w:pPr>
        <w:pStyle w:val="FootnoteText"/>
        <w:rPr>
          <w:lang w:val="en-GB"/>
        </w:rPr>
      </w:pPr>
      <w:r w:rsidRPr="00F0605C">
        <w:rPr>
          <w:rStyle w:val="FootnoteReference"/>
        </w:rPr>
        <w:footnoteRef/>
      </w:r>
      <w:r w:rsidRPr="00F0605C">
        <w:t xml:space="preserve"> </w:t>
      </w:r>
      <w:hyperlink r:id="rId8" w:anchor="quality-of-life" w:history="1">
        <w:r w:rsidR="00F0605C" w:rsidRPr="005679ED">
          <w:rPr>
            <w:rStyle w:val="Hyperlink"/>
            <w:lang w:val="en-GB"/>
          </w:rPr>
          <w:t>https://www.qldc.govt.nz/community/community-research#quality-of-life</w:t>
        </w:r>
      </w:hyperlink>
    </w:p>
  </w:footnote>
  <w:footnote w:id="10">
    <w:p w14:paraId="6FEDF6F5" w14:textId="58630182" w:rsidR="00F0605C" w:rsidRPr="00F0605C" w:rsidRDefault="00C446E6">
      <w:pPr>
        <w:pStyle w:val="FootnoteText"/>
        <w:rPr>
          <w:lang w:val="en-GB"/>
        </w:rPr>
      </w:pPr>
      <w:r w:rsidRPr="00F0605C">
        <w:rPr>
          <w:rStyle w:val="FootnoteReference"/>
        </w:rPr>
        <w:footnoteRef/>
      </w:r>
      <w:r w:rsidRPr="00F0605C">
        <w:t xml:space="preserve"> </w:t>
      </w:r>
      <w:hyperlink r:id="rId9" w:history="1">
        <w:r w:rsidR="00F0605C" w:rsidRPr="005679ED">
          <w:rPr>
            <w:rStyle w:val="Hyperlink"/>
            <w:lang w:val="en-GB"/>
          </w:rPr>
          <w:t>https://www.qldc.govt.nz/your-council/council-documents/long-term-plan-ltp/</w:t>
        </w:r>
      </w:hyperlink>
    </w:p>
  </w:footnote>
  <w:footnote w:id="11">
    <w:p w14:paraId="034A6542" w14:textId="0340DA50" w:rsidR="00F0605C" w:rsidRPr="00F0605C" w:rsidRDefault="00C446E6">
      <w:pPr>
        <w:pStyle w:val="FootnoteText"/>
        <w:rPr>
          <w:lang w:val="en-GB"/>
        </w:rPr>
      </w:pPr>
      <w:r w:rsidRPr="00F0605C">
        <w:rPr>
          <w:rStyle w:val="FootnoteReference"/>
        </w:rPr>
        <w:footnoteRef/>
      </w:r>
      <w:r w:rsidRPr="00F0605C">
        <w:t xml:space="preserve"> </w:t>
      </w:r>
      <w:hyperlink r:id="rId10" w:history="1">
        <w:r w:rsidR="00F0605C" w:rsidRPr="005679ED">
          <w:rPr>
            <w:rStyle w:val="Hyperlink"/>
            <w:lang w:val="en-GB"/>
          </w:rPr>
          <w:t>https://www.qldc.govt.nz/your-council/council-documents/annual-plans/</w:t>
        </w:r>
      </w:hyperlink>
    </w:p>
  </w:footnote>
  <w:footnote w:id="12">
    <w:p w14:paraId="32391842" w14:textId="5F89107D" w:rsidR="00F0605C" w:rsidRPr="00C446E6" w:rsidRDefault="00C446E6">
      <w:pPr>
        <w:pStyle w:val="FootnoteText"/>
        <w:rPr>
          <w:u w:val="thick"/>
          <w:lang w:val="en-GB"/>
        </w:rPr>
      </w:pPr>
      <w:r w:rsidRPr="00F0605C">
        <w:rPr>
          <w:rStyle w:val="FootnoteReference"/>
        </w:rPr>
        <w:footnoteRef/>
      </w:r>
      <w:r w:rsidRPr="00F0605C">
        <w:t xml:space="preserve"> </w:t>
      </w:r>
      <w:hyperlink r:id="rId11" w:history="1">
        <w:r w:rsidR="00F0605C" w:rsidRPr="005679ED">
          <w:rPr>
            <w:rStyle w:val="Hyperlink"/>
            <w:lang w:val="en-GB"/>
          </w:rPr>
          <w:t>https://www.qv.co.nz/news/new-capital-values-for-rating-in-queenstown-lakes-district/</w:t>
        </w:r>
      </w:hyperlink>
    </w:p>
  </w:footnote>
  <w:footnote w:id="13">
    <w:p w14:paraId="4BFAF8D0" w14:textId="3B266E29" w:rsidR="00F0605C" w:rsidRPr="00F0605C" w:rsidRDefault="00C446E6">
      <w:pPr>
        <w:pStyle w:val="FootnoteText"/>
        <w:rPr>
          <w:lang w:val="en-GB"/>
        </w:rPr>
      </w:pPr>
      <w:r w:rsidRPr="00F0605C">
        <w:rPr>
          <w:rStyle w:val="FootnoteReference"/>
        </w:rPr>
        <w:footnoteRef/>
      </w:r>
      <w:r w:rsidRPr="00F0605C">
        <w:t xml:space="preserve"> </w:t>
      </w:r>
      <w:hyperlink r:id="rId12" w:history="1">
        <w:r w:rsidR="00F0605C" w:rsidRPr="005679ED">
          <w:rPr>
            <w:rStyle w:val="Hyperlink"/>
            <w:lang w:val="en-GB"/>
          </w:rPr>
          <w:t>https://www.dia.govt.nz/Water-Services-Policy-legislation-and-process</w:t>
        </w:r>
      </w:hyperlink>
    </w:p>
  </w:footnote>
  <w:footnote w:id="14">
    <w:p w14:paraId="249BA82E" w14:textId="3DE3D56B" w:rsidR="00F0605C" w:rsidRPr="00F0605C" w:rsidRDefault="00C446E6">
      <w:pPr>
        <w:pStyle w:val="FootnoteText"/>
        <w:rPr>
          <w:lang w:val="en-GB"/>
        </w:rPr>
      </w:pPr>
      <w:r w:rsidRPr="00F0605C">
        <w:rPr>
          <w:rStyle w:val="FootnoteReference"/>
        </w:rPr>
        <w:footnoteRef/>
      </w:r>
      <w:r w:rsidRPr="00F0605C">
        <w:t xml:space="preserve"> </w:t>
      </w:r>
      <w:hyperlink r:id="rId13" w:anchor="LMS964452" w:history="1">
        <w:r w:rsidR="00F0605C" w:rsidRPr="005679ED">
          <w:rPr>
            <w:rStyle w:val="Hyperlink"/>
            <w:lang w:val="en-GB"/>
          </w:rPr>
          <w:t>https://www.legislation.govt.nz/act/public/2024/0031/latest/LMS964380.html#LMS964452</w:t>
        </w:r>
      </w:hyperlink>
    </w:p>
  </w:footnote>
  <w:footnote w:id="15">
    <w:p w14:paraId="75FF0728" w14:textId="3F736416" w:rsidR="00F0605C" w:rsidRPr="00F0605C" w:rsidRDefault="00C446E6">
      <w:pPr>
        <w:pStyle w:val="FootnoteText"/>
        <w:rPr>
          <w:lang w:val="en-GB"/>
        </w:rPr>
      </w:pPr>
      <w:r w:rsidRPr="00F0605C">
        <w:rPr>
          <w:rStyle w:val="FootnoteReference"/>
        </w:rPr>
        <w:footnoteRef/>
      </w:r>
      <w:r w:rsidRPr="00F0605C">
        <w:t xml:space="preserve"> </w:t>
      </w:r>
      <w:hyperlink r:id="rId14" w:history="1">
        <w:r w:rsidR="00F0605C" w:rsidRPr="005679ED">
          <w:rPr>
            <w:rStyle w:val="Hyperlink"/>
            <w:lang w:val="en-GB"/>
          </w:rPr>
          <w:t>https://www.qldc.govt.nz/2025/august/25-08-04-water-services-to-be-managed-and-delivered-by-council-controlled-organisation/</w:t>
        </w:r>
      </w:hyperlink>
    </w:p>
  </w:footnote>
  <w:footnote w:id="16">
    <w:p w14:paraId="74FE2626" w14:textId="1881A47F" w:rsidR="00F0605C" w:rsidRPr="007242A5" w:rsidRDefault="007242A5">
      <w:pPr>
        <w:pStyle w:val="FootnoteText"/>
        <w:rPr>
          <w:u w:val="thick"/>
          <w:lang w:val="en-GB"/>
        </w:rPr>
      </w:pPr>
      <w:r w:rsidRPr="00F0605C">
        <w:rPr>
          <w:rStyle w:val="FootnoteReference"/>
        </w:rPr>
        <w:footnoteRef/>
      </w:r>
      <w:r w:rsidRPr="00F0605C">
        <w:t xml:space="preserve"> </w:t>
      </w:r>
      <w:hyperlink r:id="rId15" w:history="1">
        <w:r w:rsidR="00F0605C" w:rsidRPr="005679ED">
          <w:rPr>
            <w:rStyle w:val="Hyperlink"/>
            <w:lang w:val="en-GB"/>
          </w:rPr>
          <w:t>https://www.qldc.govt.nz/2025/february/25-02-26-council-confirms-sale-of-commonage-land-block/</w:t>
        </w:r>
      </w:hyperlink>
    </w:p>
  </w:footnote>
  <w:footnote w:id="17">
    <w:p w14:paraId="7E2541DC" w14:textId="082807C3" w:rsidR="00F0605C" w:rsidRPr="007242A5" w:rsidRDefault="007242A5">
      <w:pPr>
        <w:pStyle w:val="FootnoteText"/>
        <w:rPr>
          <w:u w:val="thick"/>
          <w:lang w:val="en-GB"/>
        </w:rPr>
      </w:pPr>
      <w:r>
        <w:rPr>
          <w:rStyle w:val="FootnoteReference"/>
        </w:rPr>
        <w:footnoteRef/>
      </w:r>
      <w:r>
        <w:t xml:space="preserve"> </w:t>
      </w:r>
      <w:hyperlink r:id="rId16" w:history="1">
        <w:r w:rsidR="00F0605C" w:rsidRPr="005679ED">
          <w:rPr>
            <w:rStyle w:val="Hyperlink"/>
            <w:lang w:val="en-GB"/>
          </w:rPr>
          <w:t>https://www.dia.govt.nz/Regional-Deals</w:t>
        </w:r>
      </w:hyperlink>
    </w:p>
  </w:footnote>
  <w:footnote w:id="18">
    <w:p w14:paraId="5D9B6B20" w14:textId="0EB7BC51" w:rsidR="00F0605C" w:rsidRPr="007242A5" w:rsidRDefault="007242A5">
      <w:pPr>
        <w:pStyle w:val="FootnoteText"/>
        <w:rPr>
          <w:u w:val="thick"/>
          <w:lang w:val="en-GB"/>
        </w:rPr>
      </w:pPr>
      <w:r>
        <w:rPr>
          <w:rStyle w:val="FootnoteReference"/>
        </w:rPr>
        <w:footnoteRef/>
      </w:r>
      <w:r>
        <w:t xml:space="preserve"> </w:t>
      </w:r>
      <w:hyperlink r:id="rId17" w:history="1">
        <w:r w:rsidR="00F0605C" w:rsidRPr="005679ED">
          <w:rPr>
            <w:rStyle w:val="Hyperlink"/>
            <w:lang w:val="en-GB"/>
          </w:rPr>
          <w:t>https://www.qldc.govt.nz/2025/july/25-07-02-otago-central-lakes-signs-regional-deal-mou-with-government/</w:t>
        </w:r>
      </w:hyperlink>
    </w:p>
  </w:footnote>
  <w:footnote w:id="19">
    <w:p w14:paraId="0CD4B2BD" w14:textId="5BFFD979" w:rsidR="00F0605C" w:rsidRPr="00F0605C" w:rsidRDefault="007242A5">
      <w:pPr>
        <w:pStyle w:val="FootnoteText"/>
        <w:rPr>
          <w:lang w:val="en-GB"/>
        </w:rPr>
      </w:pPr>
      <w:r w:rsidRPr="00F0605C">
        <w:rPr>
          <w:rStyle w:val="FootnoteReference"/>
        </w:rPr>
        <w:footnoteRef/>
      </w:r>
      <w:r w:rsidRPr="00F0605C">
        <w:t xml:space="preserve"> </w:t>
      </w:r>
      <w:hyperlink r:id="rId18" w:history="1">
        <w:r w:rsidR="00F0605C" w:rsidRPr="005679ED">
          <w:rPr>
            <w:rStyle w:val="Hyperlink"/>
            <w:lang w:val="en-GB"/>
          </w:rPr>
          <w:t>https://www.qldc.govt.nz/community/community-research/</w:t>
        </w:r>
      </w:hyperlink>
    </w:p>
  </w:footnote>
  <w:footnote w:id="20">
    <w:p w14:paraId="16462274" w14:textId="6A81D6BC" w:rsidR="00F0605C" w:rsidRPr="00F0605C" w:rsidRDefault="007242A5">
      <w:pPr>
        <w:pStyle w:val="FootnoteText"/>
        <w:rPr>
          <w:lang w:val="en-GB"/>
        </w:rPr>
      </w:pPr>
      <w:r w:rsidRPr="00F0605C">
        <w:rPr>
          <w:rStyle w:val="FootnoteReference"/>
        </w:rPr>
        <w:footnoteRef/>
      </w:r>
      <w:r w:rsidRPr="00F0605C">
        <w:t xml:space="preserve"> </w:t>
      </w:r>
      <w:hyperlink r:id="rId19" w:history="1">
        <w:r w:rsidR="00F0605C" w:rsidRPr="005679ED">
          <w:rPr>
            <w:rStyle w:val="Hyperlink"/>
            <w:lang w:val="en-GB"/>
          </w:rPr>
          <w:t>https://www.qldc.govt.nz/community/economic-development/</w:t>
        </w:r>
      </w:hyperlink>
    </w:p>
  </w:footnote>
  <w:footnote w:id="21">
    <w:p w14:paraId="36E8AC13" w14:textId="317E0C56" w:rsidR="00F0605C" w:rsidRPr="00F0605C" w:rsidRDefault="007242A5">
      <w:pPr>
        <w:pStyle w:val="FootnoteText"/>
        <w:rPr>
          <w:lang w:val="en-GB"/>
        </w:rPr>
      </w:pPr>
      <w:r w:rsidRPr="00F0605C">
        <w:rPr>
          <w:rStyle w:val="FootnoteReference"/>
        </w:rPr>
        <w:footnoteRef/>
      </w:r>
      <w:r w:rsidRPr="00F0605C">
        <w:t xml:space="preserve"> </w:t>
      </w:r>
      <w:hyperlink r:id="rId20" w:history="1">
        <w:r w:rsidR="00F0605C" w:rsidRPr="005679ED">
          <w:rPr>
            <w:rStyle w:val="Hyperlink"/>
            <w:lang w:val="en-GB"/>
          </w:rPr>
          <w:t>https://www.qldc.govt.nz/community/economic-development/diversifying-our-economy/</w:t>
        </w:r>
      </w:hyperlink>
    </w:p>
  </w:footnote>
  <w:footnote w:id="22">
    <w:p w14:paraId="25566BC7" w14:textId="32266255" w:rsidR="00F0605C" w:rsidRPr="00F0605C" w:rsidRDefault="007242A5">
      <w:pPr>
        <w:pStyle w:val="FootnoteText"/>
        <w:rPr>
          <w:lang w:val="en-GB"/>
        </w:rPr>
      </w:pPr>
      <w:r w:rsidRPr="00F0605C">
        <w:rPr>
          <w:rStyle w:val="FootnoteReference"/>
        </w:rPr>
        <w:footnoteRef/>
      </w:r>
      <w:r w:rsidRPr="00F0605C">
        <w:t xml:space="preserve"> </w:t>
      </w:r>
      <w:hyperlink r:id="rId21" w:history="1">
        <w:r w:rsidR="00F0605C" w:rsidRPr="005679ED">
          <w:rPr>
            <w:rStyle w:val="Hyperlink"/>
            <w:lang w:val="en-GB"/>
          </w:rPr>
          <w:t>https://www.qldc.govt.nz/your-council/climate-change-and-biodiversity/</w:t>
        </w:r>
      </w:hyperlink>
    </w:p>
  </w:footnote>
  <w:footnote w:id="23">
    <w:p w14:paraId="1409B675" w14:textId="6BC1B83B" w:rsidR="00F0605C" w:rsidRPr="007242A5" w:rsidRDefault="007242A5">
      <w:pPr>
        <w:pStyle w:val="FootnoteText"/>
        <w:rPr>
          <w:u w:val="thick"/>
          <w:lang w:val="en-GB"/>
        </w:rPr>
      </w:pPr>
      <w:r w:rsidRPr="00F0605C">
        <w:rPr>
          <w:rStyle w:val="FootnoteReference"/>
        </w:rPr>
        <w:footnoteRef/>
      </w:r>
      <w:r w:rsidRPr="00F0605C">
        <w:t xml:space="preserve"> </w:t>
      </w:r>
      <w:hyperlink r:id="rId22" w:history="1">
        <w:r w:rsidR="00F0605C" w:rsidRPr="005679ED">
          <w:rPr>
            <w:rStyle w:val="Hyperlink"/>
            <w:lang w:val="en-GB"/>
          </w:rPr>
          <w:t>https://www.qldc.govt.nz/2025/august/25-08-01-council-adopts-ambitious-new-climate-biodiversity-plan-to-accelerate-local-action/</w:t>
        </w:r>
      </w:hyperlink>
    </w:p>
  </w:footnote>
  <w:footnote w:id="24">
    <w:p w14:paraId="171B1B89" w14:textId="3119DE1A" w:rsidR="00F0605C" w:rsidRPr="00F0605C" w:rsidRDefault="007242A5">
      <w:pPr>
        <w:pStyle w:val="FootnoteText"/>
        <w:rPr>
          <w:lang w:val="en-GB"/>
        </w:rPr>
      </w:pPr>
      <w:r w:rsidRPr="00F0605C">
        <w:rPr>
          <w:rStyle w:val="FootnoteReference"/>
        </w:rPr>
        <w:footnoteRef/>
      </w:r>
      <w:r w:rsidRPr="00F0605C">
        <w:t xml:space="preserve"> </w:t>
      </w:r>
      <w:hyperlink r:id="rId23" w:history="1">
        <w:r w:rsidR="00F0605C" w:rsidRPr="005679ED">
          <w:rPr>
            <w:rStyle w:val="Hyperlink"/>
            <w:lang w:val="en-GB"/>
          </w:rPr>
          <w:t>https://www.qldc.govt.nz/your-council/major-projects/mount-iron-reserve-management-plan/</w:t>
        </w:r>
      </w:hyperlink>
    </w:p>
  </w:footnote>
  <w:footnote w:id="25">
    <w:p w14:paraId="34F5F09B" w14:textId="4E61316D" w:rsidR="00F0605C" w:rsidRPr="00F0605C" w:rsidRDefault="007242A5">
      <w:pPr>
        <w:pStyle w:val="FootnoteText"/>
        <w:rPr>
          <w:lang w:val="en-GB"/>
        </w:rPr>
      </w:pPr>
      <w:r w:rsidRPr="00F0605C">
        <w:rPr>
          <w:rStyle w:val="FootnoteReference"/>
        </w:rPr>
        <w:footnoteRef/>
      </w:r>
      <w:r w:rsidRPr="00F0605C">
        <w:t xml:space="preserve"> </w:t>
      </w:r>
      <w:hyperlink r:id="rId24" w:history="1">
        <w:r w:rsidR="00F0605C" w:rsidRPr="005679ED">
          <w:rPr>
            <w:rStyle w:val="Hyperlink"/>
            <w:lang w:val="en-GB"/>
          </w:rPr>
          <w:t>https://www.qldc.govt.nz/your-council/major-projects/project-tohu/</w:t>
        </w:r>
      </w:hyperlink>
    </w:p>
  </w:footnote>
  <w:footnote w:id="26">
    <w:p w14:paraId="23D50A5F" w14:textId="1C4ED206" w:rsidR="00F0605C" w:rsidRPr="00F0605C" w:rsidRDefault="00666CF3">
      <w:pPr>
        <w:pStyle w:val="FootnoteText"/>
        <w:rPr>
          <w:lang w:val="en-GB"/>
        </w:rPr>
      </w:pPr>
      <w:r w:rsidRPr="00F0605C">
        <w:rPr>
          <w:rStyle w:val="FootnoteReference"/>
        </w:rPr>
        <w:footnoteRef/>
      </w:r>
      <w:r w:rsidRPr="00F0605C">
        <w:t xml:space="preserve"> </w:t>
      </w:r>
      <w:hyperlink r:id="rId25" w:history="1">
        <w:r w:rsidR="00F0605C" w:rsidRPr="005679ED">
          <w:rPr>
            <w:rStyle w:val="Hyperlink"/>
            <w:lang w:val="en-GB"/>
          </w:rPr>
          <w:t>https://www.qldc.govt.nz/your-council/major-projects/wanaka-lakefront-development-plan/</w:t>
        </w:r>
      </w:hyperlink>
    </w:p>
  </w:footnote>
  <w:footnote w:id="27">
    <w:p w14:paraId="1170BF64" w14:textId="2CEB0F55" w:rsidR="00F0605C" w:rsidRPr="00666CF3" w:rsidRDefault="00666CF3">
      <w:pPr>
        <w:pStyle w:val="FootnoteText"/>
        <w:rPr>
          <w:u w:val="thick"/>
          <w:lang w:val="en-GB"/>
        </w:rPr>
      </w:pPr>
      <w:r w:rsidRPr="00F0605C">
        <w:rPr>
          <w:rStyle w:val="FootnoteReference"/>
        </w:rPr>
        <w:footnoteRef/>
      </w:r>
      <w:r w:rsidRPr="00F0605C">
        <w:t xml:space="preserve"> </w:t>
      </w:r>
      <w:hyperlink r:id="rId26" w:history="1">
        <w:r w:rsidR="00F0605C" w:rsidRPr="005679ED">
          <w:rPr>
            <w:rStyle w:val="Hyperlink"/>
            <w:lang w:val="en-GB"/>
          </w:rPr>
          <w:t>https://www.qldc.govt.nz/your-council/major-projects/queenstown-town-centre-arterial/</w:t>
        </w:r>
      </w:hyperlink>
    </w:p>
  </w:footnote>
  <w:footnote w:id="28">
    <w:p w14:paraId="26A6BDC9" w14:textId="54B8EAFB" w:rsidR="00F0605C" w:rsidRPr="00F0605C" w:rsidRDefault="00666CF3">
      <w:pPr>
        <w:pStyle w:val="FootnoteText"/>
        <w:rPr>
          <w:lang w:val="en-GB"/>
        </w:rPr>
      </w:pPr>
      <w:r w:rsidRPr="00F0605C">
        <w:rPr>
          <w:rStyle w:val="FootnoteReference"/>
        </w:rPr>
        <w:footnoteRef/>
      </w:r>
      <w:r w:rsidRPr="00F0605C">
        <w:t xml:space="preserve"> </w:t>
      </w:r>
      <w:hyperlink r:id="rId27" w:history="1">
        <w:r w:rsidR="00F0605C" w:rsidRPr="005679ED">
          <w:rPr>
            <w:rStyle w:val="Hyperlink"/>
            <w:lang w:val="en-GB"/>
          </w:rPr>
          <w:t>https://www.qldc.govt.nz/your-council/major-projects/upper-clutha-wastewater-conveyance-scheme/</w:t>
        </w:r>
      </w:hyperlink>
    </w:p>
  </w:footnote>
  <w:footnote w:id="29">
    <w:p w14:paraId="1E207D43" w14:textId="0674ADF0" w:rsidR="00F0605C" w:rsidRPr="00F0605C" w:rsidRDefault="00666CF3">
      <w:pPr>
        <w:pStyle w:val="FootnoteText"/>
        <w:rPr>
          <w:lang w:val="en-GB"/>
        </w:rPr>
      </w:pPr>
      <w:r w:rsidRPr="00F0605C">
        <w:rPr>
          <w:rStyle w:val="FootnoteReference"/>
        </w:rPr>
        <w:footnoteRef/>
      </w:r>
      <w:r w:rsidRPr="00F0605C">
        <w:t xml:space="preserve"> </w:t>
      </w:r>
      <w:hyperlink r:id="rId28" w:history="1">
        <w:r w:rsidR="00F0605C" w:rsidRPr="005679ED">
          <w:rPr>
            <w:rStyle w:val="Hyperlink"/>
            <w:lang w:val="en-GB"/>
          </w:rPr>
          <w:t>https://www.qldc.govt.nz/your-council/major-projects/kingston-infrastructure-works/</w:t>
        </w:r>
      </w:hyperlink>
    </w:p>
  </w:footnote>
  <w:footnote w:id="30">
    <w:p w14:paraId="7E8CF51B" w14:textId="6105722B" w:rsidR="00F0605C" w:rsidRPr="00F0605C" w:rsidRDefault="00666CF3">
      <w:pPr>
        <w:pStyle w:val="FootnoteText"/>
        <w:rPr>
          <w:lang w:val="en-GB"/>
        </w:rPr>
      </w:pPr>
      <w:r w:rsidRPr="00F0605C">
        <w:rPr>
          <w:rStyle w:val="FootnoteReference"/>
        </w:rPr>
        <w:footnoteRef/>
      </w:r>
      <w:r w:rsidRPr="00F0605C">
        <w:t xml:space="preserve"> </w:t>
      </w:r>
      <w:hyperlink r:id="rId29" w:history="1">
        <w:r w:rsidR="00F0605C" w:rsidRPr="005679ED">
          <w:rPr>
            <w:rStyle w:val="Hyperlink"/>
            <w:lang w:val="en-GB"/>
          </w:rPr>
          <w:t>https://www.qldc.govt.nz/your-council/major-projects/water-treatment-upgrades/</w:t>
        </w:r>
      </w:hyperlink>
    </w:p>
  </w:footnote>
  <w:footnote w:id="31">
    <w:p w14:paraId="1378EA94" w14:textId="2FD25DB8" w:rsidR="00F0605C" w:rsidRPr="00350605" w:rsidRDefault="00350605">
      <w:pPr>
        <w:pStyle w:val="FootnoteText"/>
        <w:rPr>
          <w:u w:val="thick"/>
          <w:lang w:val="en-GB"/>
        </w:rPr>
      </w:pPr>
      <w:r w:rsidRPr="00F0605C">
        <w:rPr>
          <w:rStyle w:val="FootnoteReference"/>
        </w:rPr>
        <w:footnoteRef/>
      </w:r>
      <w:r w:rsidRPr="00F0605C">
        <w:t xml:space="preserve"> </w:t>
      </w:r>
      <w:hyperlink r:id="rId30" w:history="1">
        <w:r w:rsidR="00F0605C" w:rsidRPr="005679ED">
          <w:rPr>
            <w:rStyle w:val="Hyperlink"/>
            <w:lang w:val="en-GB"/>
          </w:rPr>
          <w:t>https://www.qldc.govt.nz/services/airports/wanaka-airport/</w:t>
        </w:r>
      </w:hyperlink>
    </w:p>
  </w:footnote>
  <w:footnote w:id="32">
    <w:p w14:paraId="34F7A02A" w14:textId="37C3FC8B" w:rsidR="00F0605C" w:rsidRPr="00F0605C" w:rsidRDefault="00350605">
      <w:pPr>
        <w:pStyle w:val="FootnoteText"/>
        <w:rPr>
          <w:lang w:val="en-GB"/>
        </w:rPr>
      </w:pPr>
      <w:r w:rsidRPr="00F0605C">
        <w:rPr>
          <w:rStyle w:val="FootnoteReference"/>
        </w:rPr>
        <w:footnoteRef/>
      </w:r>
      <w:r w:rsidRPr="00F0605C">
        <w:t xml:space="preserve"> </w:t>
      </w:r>
      <w:hyperlink r:id="rId31" w:history="1">
        <w:r w:rsidR="00F0605C" w:rsidRPr="005679ED">
          <w:rPr>
            <w:rStyle w:val="Hyperlink"/>
            <w:lang w:val="en-GB"/>
          </w:rPr>
          <w:t>https://www.qldc.govt.nz/your-council/major-projects/wanaka-airport-certification/</w:t>
        </w:r>
      </w:hyperlink>
    </w:p>
  </w:footnote>
  <w:footnote w:id="33">
    <w:p w14:paraId="70B86DB6" w14:textId="7879D63A" w:rsidR="00F0605C" w:rsidRPr="00F0605C" w:rsidRDefault="00350605">
      <w:pPr>
        <w:pStyle w:val="FootnoteText"/>
        <w:rPr>
          <w:lang w:val="en-GB"/>
        </w:rPr>
      </w:pPr>
      <w:r w:rsidRPr="00F0605C">
        <w:rPr>
          <w:rStyle w:val="FootnoteReference"/>
        </w:rPr>
        <w:footnoteRef/>
      </w:r>
      <w:r w:rsidRPr="00F0605C">
        <w:t xml:space="preserve"> </w:t>
      </w:r>
      <w:hyperlink r:id="rId32" w:history="1">
        <w:r w:rsidR="00F0605C" w:rsidRPr="005679ED">
          <w:rPr>
            <w:rStyle w:val="Hyperlink"/>
            <w:lang w:val="en-GB"/>
          </w:rPr>
          <w:t>https://www.qldc.govt.nz/your-council/major-projects/wanaka-airport-future-review/</w:t>
        </w:r>
      </w:hyperlink>
    </w:p>
  </w:footnote>
  <w:footnote w:id="34">
    <w:p w14:paraId="5E27EAB6" w14:textId="4B17EB27" w:rsidR="00F0605C" w:rsidRPr="00F0605C" w:rsidRDefault="00350605">
      <w:pPr>
        <w:pStyle w:val="FootnoteText"/>
        <w:rPr>
          <w:lang w:val="en-GB"/>
        </w:rPr>
      </w:pPr>
      <w:r w:rsidRPr="00F0605C">
        <w:rPr>
          <w:rStyle w:val="FootnoteReference"/>
        </w:rPr>
        <w:footnoteRef/>
      </w:r>
      <w:r w:rsidRPr="00F0605C">
        <w:t xml:space="preserve"> </w:t>
      </w:r>
      <w:hyperlink r:id="rId33" w:history="1">
        <w:r w:rsidR="00F0605C" w:rsidRPr="005679ED">
          <w:rPr>
            <w:rStyle w:val="Hyperlink"/>
            <w:lang w:val="en-GB"/>
          </w:rPr>
          <w:t>https://www.queenstownairport.co.nz/</w:t>
        </w:r>
      </w:hyperlink>
    </w:p>
  </w:footnote>
  <w:footnote w:id="35">
    <w:p w14:paraId="2D366C9F" w14:textId="022419C2" w:rsidR="00F0605C" w:rsidRPr="00350605" w:rsidRDefault="00350605">
      <w:pPr>
        <w:pStyle w:val="FootnoteText"/>
        <w:rPr>
          <w:u w:val="thick"/>
          <w:lang w:val="en-GB"/>
        </w:rPr>
      </w:pPr>
      <w:r w:rsidRPr="00F0605C">
        <w:rPr>
          <w:rStyle w:val="FootnoteReference"/>
        </w:rPr>
        <w:footnoteRef/>
      </w:r>
      <w:r w:rsidRPr="00F0605C">
        <w:t xml:space="preserve"> </w:t>
      </w:r>
      <w:hyperlink r:id="rId34" w:history="1">
        <w:r w:rsidR="00F0605C" w:rsidRPr="005679ED">
          <w:rPr>
            <w:rStyle w:val="Hyperlink"/>
            <w:lang w:val="en-GB"/>
          </w:rPr>
          <w:t>https://www.qldc.govt.nz/your-council/council-documents/bylaws/</w:t>
        </w:r>
      </w:hyperlink>
    </w:p>
  </w:footnote>
  <w:footnote w:id="36">
    <w:p w14:paraId="279F5D5F" w14:textId="38373846" w:rsidR="00F0605C" w:rsidRPr="00F0605C" w:rsidRDefault="00350605">
      <w:pPr>
        <w:pStyle w:val="FootnoteText"/>
        <w:rPr>
          <w:lang w:val="en-GB"/>
        </w:rPr>
      </w:pPr>
      <w:r w:rsidRPr="00F0605C">
        <w:rPr>
          <w:rStyle w:val="FootnoteReference"/>
        </w:rPr>
        <w:footnoteRef/>
      </w:r>
      <w:r w:rsidRPr="00F0605C">
        <w:t xml:space="preserve"> </w:t>
      </w:r>
      <w:hyperlink r:id="rId35" w:history="1">
        <w:r w:rsidR="00F0605C" w:rsidRPr="005679ED">
          <w:rPr>
            <w:rStyle w:val="Hyperlink"/>
            <w:lang w:val="en-GB"/>
          </w:rPr>
          <w:t>https://www.qldc.govt.nz/media/urgngoqa/navigation-safety-bylaw-2025-te-ture-a-rohe-mo-te-haumaru-whakatere-2025.pdf</w:t>
        </w:r>
      </w:hyperlink>
    </w:p>
  </w:footnote>
  <w:footnote w:id="37">
    <w:p w14:paraId="184BA5F5" w14:textId="1949DF69" w:rsidR="00F0605C" w:rsidRPr="00F0605C" w:rsidRDefault="00090821">
      <w:pPr>
        <w:pStyle w:val="FootnoteText"/>
        <w:rPr>
          <w:lang w:val="en-GB"/>
        </w:rPr>
      </w:pPr>
      <w:r w:rsidRPr="00F0605C">
        <w:rPr>
          <w:rStyle w:val="FootnoteReference"/>
        </w:rPr>
        <w:footnoteRef/>
      </w:r>
      <w:r w:rsidRPr="00F0605C">
        <w:t xml:space="preserve"> </w:t>
      </w:r>
      <w:hyperlink r:id="rId36" w:history="1">
        <w:r w:rsidR="00F0605C" w:rsidRPr="005679ED">
          <w:rPr>
            <w:rStyle w:val="Hyperlink"/>
            <w:lang w:val="en-GB"/>
          </w:rPr>
          <w:t>https://www.qldc.govt.nz/your-council/district-plan/</w:t>
        </w:r>
      </w:hyperlink>
    </w:p>
  </w:footnote>
  <w:footnote w:id="38">
    <w:p w14:paraId="723733B3" w14:textId="73554AD7" w:rsidR="00F0605C" w:rsidRPr="00090821" w:rsidRDefault="00090821">
      <w:pPr>
        <w:pStyle w:val="FootnoteText"/>
        <w:rPr>
          <w:u w:val="thick"/>
          <w:lang w:val="en-GB"/>
        </w:rPr>
      </w:pPr>
      <w:r w:rsidRPr="00F0605C">
        <w:rPr>
          <w:rStyle w:val="FootnoteReference"/>
        </w:rPr>
        <w:footnoteRef/>
      </w:r>
      <w:r w:rsidRPr="00F0605C">
        <w:t xml:space="preserve"> </w:t>
      </w:r>
      <w:hyperlink r:id="rId37" w:history="1">
        <w:r w:rsidR="00F0605C" w:rsidRPr="005679ED">
          <w:rPr>
            <w:rStyle w:val="Hyperlink"/>
            <w:lang w:val="en-GB"/>
          </w:rPr>
          <w:t>https://www.qldc.govt.nz/your-council/district-plan/eplans/</w:t>
        </w:r>
      </w:hyperlink>
    </w:p>
  </w:footnote>
  <w:footnote w:id="39">
    <w:p w14:paraId="6BF0A022" w14:textId="113004A6" w:rsidR="00F0605C" w:rsidRPr="00F0605C" w:rsidRDefault="00090821">
      <w:pPr>
        <w:pStyle w:val="FootnoteText"/>
        <w:rPr>
          <w:lang w:val="en-GB"/>
        </w:rPr>
      </w:pPr>
      <w:r w:rsidRPr="00F0605C">
        <w:rPr>
          <w:rStyle w:val="FootnoteReference"/>
        </w:rPr>
        <w:footnoteRef/>
      </w:r>
      <w:r w:rsidRPr="00F0605C">
        <w:t xml:space="preserve"> </w:t>
      </w:r>
      <w:hyperlink r:id="rId38" w:history="1">
        <w:r w:rsidR="00F0605C" w:rsidRPr="005679ED">
          <w:rPr>
            <w:rStyle w:val="Hyperlink"/>
            <w:lang w:val="en-GB"/>
          </w:rPr>
          <w:t>https://www.qldc.govt.nz/your-council/district-plan/te-putahi-ladies-mile-variation/</w:t>
        </w:r>
      </w:hyperlink>
    </w:p>
  </w:footnote>
  <w:footnote w:id="40">
    <w:p w14:paraId="7C44130E" w14:textId="76B58598" w:rsidR="00F0605C" w:rsidRPr="00F0605C" w:rsidRDefault="000E51C5">
      <w:pPr>
        <w:pStyle w:val="FootnoteText"/>
        <w:rPr>
          <w:lang w:val="en-GB"/>
        </w:rPr>
      </w:pPr>
      <w:r w:rsidRPr="00F0605C">
        <w:rPr>
          <w:rStyle w:val="FootnoteReference"/>
        </w:rPr>
        <w:footnoteRef/>
      </w:r>
      <w:r w:rsidRPr="00F0605C">
        <w:t xml:space="preserve"> </w:t>
      </w:r>
      <w:hyperlink r:id="rId39" w:history="1">
        <w:r w:rsidR="00F0605C" w:rsidRPr="005679ED">
          <w:rPr>
            <w:rStyle w:val="Hyperlink"/>
            <w:lang w:val="en-GB"/>
          </w:rPr>
          <w:t>https://www.qldc.govt.nz/your-council/major-projects/te-tapuae-southern-corridor/</w:t>
        </w:r>
      </w:hyperlink>
    </w:p>
  </w:footnote>
  <w:footnote w:id="41">
    <w:p w14:paraId="355D6706" w14:textId="149A2F93" w:rsidR="00F0605C" w:rsidRPr="000E51C5" w:rsidRDefault="000E51C5">
      <w:pPr>
        <w:pStyle w:val="FootnoteText"/>
        <w:rPr>
          <w:u w:val="thick"/>
          <w:lang w:val="en-GB"/>
        </w:rPr>
      </w:pPr>
      <w:r w:rsidRPr="00F0605C">
        <w:rPr>
          <w:rStyle w:val="FootnoteReference"/>
        </w:rPr>
        <w:footnoteRef/>
      </w:r>
      <w:r w:rsidRPr="00F0605C">
        <w:t xml:space="preserve"> </w:t>
      </w:r>
      <w:hyperlink r:id="rId40" w:history="1">
        <w:r w:rsidR="00F0605C" w:rsidRPr="005679ED">
          <w:rPr>
            <w:rStyle w:val="Hyperlink"/>
            <w:lang w:val="en-GB"/>
          </w:rPr>
          <w:t>https://environment.govt.nz/acts-and-regulations/acts/fast-track-approvals/</w:t>
        </w:r>
      </w:hyperlink>
    </w:p>
  </w:footnote>
  <w:footnote w:id="42">
    <w:p w14:paraId="337D07A4" w14:textId="068E04E5" w:rsidR="00F0605C" w:rsidRPr="00F0605C" w:rsidRDefault="000E51C5">
      <w:pPr>
        <w:pStyle w:val="FootnoteText"/>
        <w:rPr>
          <w:lang w:val="en-GB"/>
        </w:rPr>
      </w:pPr>
      <w:r w:rsidRPr="00F0605C">
        <w:rPr>
          <w:rStyle w:val="FootnoteReference"/>
        </w:rPr>
        <w:footnoteRef/>
      </w:r>
      <w:r w:rsidRPr="00F0605C">
        <w:t xml:space="preserve"> </w:t>
      </w:r>
      <w:hyperlink r:id="rId41" w:history="1">
        <w:r w:rsidR="00F0605C" w:rsidRPr="005679ED">
          <w:rPr>
            <w:rStyle w:val="Hyperlink"/>
            <w:lang w:val="en-GB"/>
          </w:rPr>
          <w:t>https://www.qldc.govt.nz/your-council/fast-track-approvals-act/</w:t>
        </w:r>
      </w:hyperlink>
    </w:p>
  </w:footnote>
  <w:footnote w:id="43">
    <w:p w14:paraId="71AC79C1" w14:textId="28B32976" w:rsidR="00F0605C" w:rsidRPr="007D24BB" w:rsidRDefault="007D24BB">
      <w:pPr>
        <w:pStyle w:val="FootnoteText"/>
        <w:rPr>
          <w:u w:val="thick"/>
          <w:lang w:val="en-GB"/>
        </w:rPr>
      </w:pPr>
      <w:r w:rsidRPr="00F0605C">
        <w:rPr>
          <w:rStyle w:val="FootnoteReference"/>
        </w:rPr>
        <w:footnoteRef/>
      </w:r>
      <w:r w:rsidRPr="00F0605C">
        <w:t xml:space="preserve"> </w:t>
      </w:r>
      <w:hyperlink r:id="rId42" w:history="1">
        <w:r w:rsidR="00F0605C" w:rsidRPr="005679ED">
          <w:rPr>
            <w:rStyle w:val="Hyperlink"/>
            <w:lang w:val="en-GB"/>
          </w:rPr>
          <w:t>https://www.qldc.govt.nz/community/population-and-demand/</w:t>
        </w:r>
      </w:hyperlink>
    </w:p>
  </w:footnote>
  <w:footnote w:id="44">
    <w:p w14:paraId="4DE3EFFC" w14:textId="00B3D553" w:rsidR="00F0605C" w:rsidRPr="0038438C" w:rsidRDefault="007D24BB">
      <w:pPr>
        <w:pStyle w:val="FootnoteText"/>
        <w:rPr>
          <w:lang w:val="en-GB"/>
        </w:rPr>
      </w:pPr>
      <w:r w:rsidRPr="0038438C">
        <w:rPr>
          <w:rStyle w:val="FootnoteReference"/>
        </w:rPr>
        <w:footnoteRef/>
      </w:r>
      <w:r w:rsidRPr="0038438C">
        <w:t xml:space="preserve"> </w:t>
      </w:r>
      <w:hyperlink r:id="rId43" w:history="1">
        <w:r w:rsidR="00F0605C" w:rsidRPr="005679ED">
          <w:rPr>
            <w:rStyle w:val="Hyperlink"/>
            <w:lang w:val="en-GB"/>
          </w:rPr>
          <w:t>https://www.qldc.govt.nz/community/welcoming-communities/</w:t>
        </w:r>
      </w:hyperlink>
    </w:p>
  </w:footnote>
  <w:footnote w:id="45">
    <w:p w14:paraId="68E67D70" w14:textId="5378D5C8" w:rsidR="00F0605C" w:rsidRPr="0038438C" w:rsidRDefault="007D24BB">
      <w:pPr>
        <w:pStyle w:val="FootnoteText"/>
        <w:rPr>
          <w:lang w:val="en-GB"/>
        </w:rPr>
      </w:pPr>
      <w:r w:rsidRPr="0038438C">
        <w:rPr>
          <w:rStyle w:val="FootnoteReference"/>
        </w:rPr>
        <w:footnoteRef/>
      </w:r>
      <w:r w:rsidRPr="0038438C">
        <w:t xml:space="preserve"> </w:t>
      </w:r>
      <w:hyperlink r:id="rId44" w:history="1">
        <w:r w:rsidR="00F0605C" w:rsidRPr="005679ED">
          <w:rPr>
            <w:rStyle w:val="Hyperlink"/>
            <w:lang w:val="en-GB"/>
          </w:rPr>
          <w:t>https://www.qldc.govt.nz/community/newcomers-guide/</w:t>
        </w:r>
      </w:hyperlink>
    </w:p>
  </w:footnote>
  <w:footnote w:id="46">
    <w:p w14:paraId="7F537CCC" w14:textId="12503FF0" w:rsidR="00F0605C" w:rsidRPr="007D24BB" w:rsidRDefault="007D24BB">
      <w:pPr>
        <w:pStyle w:val="FootnoteText"/>
        <w:rPr>
          <w:u w:val="thick"/>
          <w:lang w:val="en-GB"/>
        </w:rPr>
      </w:pPr>
      <w:r w:rsidRPr="0038438C">
        <w:rPr>
          <w:rStyle w:val="FootnoteReference"/>
        </w:rPr>
        <w:footnoteRef/>
      </w:r>
      <w:r w:rsidRPr="0038438C">
        <w:t xml:space="preserve"> </w:t>
      </w:r>
      <w:hyperlink r:id="rId45" w:history="1">
        <w:r w:rsidR="00F0605C" w:rsidRPr="005679ED">
          <w:rPr>
            <w:rStyle w:val="Hyperlink"/>
            <w:lang w:val="en-GB"/>
          </w:rPr>
          <w:t>https://www.qldc.govt.nz/community/community-funding/</w:t>
        </w:r>
      </w:hyperlink>
    </w:p>
  </w:footnote>
  <w:footnote w:id="47">
    <w:p w14:paraId="548090D8" w14:textId="422ED8DA" w:rsidR="00F0605C" w:rsidRPr="00A00DC3" w:rsidRDefault="007D24BB">
      <w:pPr>
        <w:pStyle w:val="FootnoteText"/>
        <w:rPr>
          <w:u w:val="thick"/>
          <w:lang w:val="en-GB"/>
        </w:rPr>
      </w:pPr>
      <w:r>
        <w:rPr>
          <w:rStyle w:val="FootnoteReference"/>
        </w:rPr>
        <w:footnoteRef/>
      </w:r>
      <w:r>
        <w:t xml:space="preserve"> </w:t>
      </w:r>
      <w:hyperlink r:id="rId46" w:history="1">
        <w:r w:rsidR="00F0605C" w:rsidRPr="005679ED">
          <w:rPr>
            <w:rStyle w:val="Hyperlink"/>
            <w:lang w:val="en-GB"/>
          </w:rPr>
          <w:t>https://www.qldc.govt.nz/your-council/major-projects/101-ballantyne-road-masterplan/</w:t>
        </w:r>
      </w:hyperlink>
    </w:p>
  </w:footnote>
  <w:footnote w:id="48">
    <w:p w14:paraId="72F95864" w14:textId="6CCC99B3" w:rsidR="00F0605C" w:rsidRPr="00A00DC3" w:rsidRDefault="00A00DC3">
      <w:pPr>
        <w:pStyle w:val="FootnoteText"/>
        <w:rPr>
          <w:u w:val="thick"/>
          <w:lang w:val="en-GB"/>
        </w:rPr>
      </w:pPr>
      <w:r>
        <w:rPr>
          <w:rStyle w:val="FootnoteReference"/>
        </w:rPr>
        <w:footnoteRef/>
      </w:r>
      <w:r>
        <w:t xml:space="preserve"> </w:t>
      </w:r>
      <w:hyperlink r:id="rId47" w:history="1">
        <w:r w:rsidR="00F0605C" w:rsidRPr="005679ED">
          <w:rPr>
            <w:rStyle w:val="Hyperlink"/>
            <w:lang w:val="en-GB"/>
          </w:rPr>
          <w:t>https://www.qldc.govt.nz/your-council/major-projects/shotover-wastewater-treatment-plant/</w:t>
        </w:r>
      </w:hyperlink>
    </w:p>
  </w:footnote>
  <w:footnote w:id="49">
    <w:p w14:paraId="0133AB43" w14:textId="508F320C" w:rsidR="00F0605C" w:rsidRPr="00A00DC3" w:rsidRDefault="00A00DC3">
      <w:pPr>
        <w:pStyle w:val="FootnoteText"/>
        <w:rPr>
          <w:u w:val="thick"/>
          <w:lang w:val="en-GB"/>
        </w:rPr>
      </w:pPr>
      <w:r>
        <w:rPr>
          <w:rStyle w:val="FootnoteReference"/>
        </w:rPr>
        <w:footnoteRef/>
      </w:r>
      <w:r>
        <w:t xml:space="preserve"> </w:t>
      </w:r>
      <w:hyperlink r:id="rId48" w:history="1">
        <w:r w:rsidR="00F0605C" w:rsidRPr="005679ED">
          <w:rPr>
            <w:rStyle w:val="Hyperlink"/>
            <w:lang w:val="en-GB"/>
          </w:rPr>
          <w:t>https://letstalk.qldc.govt.nz/</w:t>
        </w:r>
      </w:hyperlink>
    </w:p>
  </w:footnote>
  <w:footnote w:id="50">
    <w:p w14:paraId="646B4ECA" w14:textId="48B2FB5E" w:rsidR="00F0605C" w:rsidRPr="00A00DC3" w:rsidRDefault="00A00DC3">
      <w:pPr>
        <w:pStyle w:val="FootnoteText"/>
        <w:rPr>
          <w:u w:val="thick"/>
          <w:lang w:val="en-GB"/>
        </w:rPr>
      </w:pPr>
      <w:r>
        <w:rPr>
          <w:rStyle w:val="FootnoteReference"/>
        </w:rPr>
        <w:footnoteRef/>
      </w:r>
      <w:r>
        <w:t xml:space="preserve"> </w:t>
      </w:r>
      <w:hyperlink r:id="rId49" w:history="1">
        <w:r w:rsidR="00F0605C" w:rsidRPr="005679ED">
          <w:rPr>
            <w:rStyle w:val="Hyperlink"/>
            <w:lang w:val="en-GB"/>
          </w:rPr>
          <w:t>https://www.qldc.govt.nz/your-council/council-meetings/</w:t>
        </w:r>
      </w:hyperlink>
    </w:p>
  </w:footnote>
  <w:footnote w:id="51">
    <w:p w14:paraId="198F1F8D" w14:textId="72824D83" w:rsidR="00465380" w:rsidRPr="00465380" w:rsidRDefault="00465380">
      <w:pPr>
        <w:pStyle w:val="FootnoteText"/>
        <w:rPr>
          <w:lang w:val="en-GB"/>
        </w:rPr>
      </w:pPr>
      <w:r>
        <w:rPr>
          <w:rStyle w:val="FootnoteReference"/>
        </w:rPr>
        <w:footnoteRef/>
      </w:r>
      <w:r>
        <w:t xml:space="preserve"> </w:t>
      </w:r>
      <w:r w:rsidRPr="00465380">
        <w:rPr>
          <w:lang w:val="en-GB"/>
        </w:rPr>
        <w:t xml:space="preserve">Expenditure in the economy group is inclusive of QLDC's collection of levies on commercial ratepayers on behalf of Tourism promotion organisations – Destination Queenstown $5.2M, Lake </w:t>
      </w:r>
      <w:proofErr w:type="spellStart"/>
      <w:r w:rsidRPr="00465380">
        <w:rPr>
          <w:lang w:val="en-GB"/>
        </w:rPr>
        <w:t>Wānaka</w:t>
      </w:r>
      <w:proofErr w:type="spellEnd"/>
      <w:r w:rsidRPr="00465380">
        <w:rPr>
          <w:lang w:val="en-GB"/>
        </w:rPr>
        <w:t xml:space="preserve"> Tourism $1.3M and Arrowtown Promotion and Business Association $231k.</w:t>
      </w:r>
    </w:p>
  </w:footnote>
  <w:footnote w:id="52">
    <w:p w14:paraId="6918B58C" w14:textId="1AB6343F" w:rsidR="0038438C" w:rsidRDefault="0038438C" w:rsidP="0038438C">
      <w:pPr>
        <w:pStyle w:val="FootnoteText"/>
      </w:pPr>
      <w:r>
        <w:rPr>
          <w:rStyle w:val="FootnoteReference"/>
        </w:rPr>
        <w:footnoteRef/>
      </w:r>
      <w:r>
        <w:t xml:space="preserve"> A Council-controlled trading organisation</w:t>
      </w:r>
    </w:p>
  </w:footnote>
  <w:footnote w:id="53">
    <w:p w14:paraId="70FDD990" w14:textId="249AD150" w:rsidR="00F0605C" w:rsidRPr="0038438C" w:rsidRDefault="0038438C">
      <w:pPr>
        <w:pStyle w:val="FootnoteText"/>
        <w:rPr>
          <w:u w:val="thick"/>
          <w:lang w:val="en-GB"/>
        </w:rPr>
      </w:pPr>
      <w:r>
        <w:rPr>
          <w:rStyle w:val="FootnoteReference"/>
        </w:rPr>
        <w:footnoteRef/>
      </w:r>
      <w:r>
        <w:t xml:space="preserve"> </w:t>
      </w:r>
      <w:hyperlink r:id="rId50" w:history="1">
        <w:r w:rsidR="00F0605C" w:rsidRPr="005679ED">
          <w:rPr>
            <w:rStyle w:val="Hyperlink"/>
            <w:lang w:val="en-GB"/>
          </w:rPr>
          <w:t>https://www.qldc.govt.nz/your-council/sister-cities</w:t>
        </w:r>
      </w:hyperlink>
    </w:p>
  </w:footnote>
  <w:footnote w:id="54">
    <w:p w14:paraId="186A6DE8" w14:textId="4BB50B45" w:rsidR="00F0605C" w:rsidRPr="0038438C" w:rsidRDefault="0038438C">
      <w:pPr>
        <w:pStyle w:val="FootnoteText"/>
        <w:rPr>
          <w:lang w:val="en-US"/>
        </w:rPr>
      </w:pPr>
      <w:r>
        <w:rPr>
          <w:rStyle w:val="FootnoteReference"/>
        </w:rPr>
        <w:footnoteRef/>
      </w:r>
      <w:r>
        <w:t xml:space="preserve"> </w:t>
      </w:r>
      <w:hyperlink r:id="rId51" w:history="1">
        <w:r w:rsidR="00F0605C" w:rsidRPr="005679ED">
          <w:rPr>
            <w:rStyle w:val="Hyperlink"/>
            <w:lang w:val="en-GB"/>
          </w:rPr>
          <w:t>https://www.qldc.govt.nz/your-council/sister-cities</w:t>
        </w:r>
      </w:hyperlink>
    </w:p>
  </w:footnote>
  <w:footnote w:id="55">
    <w:p w14:paraId="10D2C55D" w14:textId="2118E04D" w:rsidR="00C72995" w:rsidRDefault="00C72995">
      <w:pPr>
        <w:pStyle w:val="FootnoteText"/>
      </w:pPr>
      <w:r>
        <w:rPr>
          <w:rStyle w:val="FootnoteReference"/>
        </w:rPr>
        <w:footnoteRef/>
      </w:r>
      <w:r>
        <w:t xml:space="preserve"> </w:t>
      </w:r>
      <w:r w:rsidRPr="00C72995">
        <w:t>This KPI relates to the District Plan activity.</w:t>
      </w:r>
    </w:p>
  </w:footnote>
  <w:footnote w:id="56">
    <w:p w14:paraId="182D7DA7" w14:textId="2F56AA39" w:rsidR="00C72995" w:rsidRDefault="00C72995" w:rsidP="00C72995">
      <w:pPr>
        <w:pStyle w:val="FootnoteText"/>
      </w:pPr>
      <w:r>
        <w:rPr>
          <w:rStyle w:val="FootnoteReference"/>
        </w:rPr>
        <w:footnoteRef/>
      </w:r>
      <w:r>
        <w:t xml:space="preserve"> The Department of Internal Affairs updated this mandatory performance measure after the council had published our Long-term Plan, which sets our statement of service. The updated measure still covers the bacterial and protozoal compliance of water supplies but now is directly referenced to the relevant rules in the Drinking Water Quality Assurance Rules 2022 (</w:t>
      </w:r>
      <w:hyperlink r:id="rId52" w:history="1">
        <w:r w:rsidRPr="005679ED">
          <w:rPr>
            <w:rStyle w:val="Hyperlink"/>
          </w:rPr>
          <w:t>https://www.taumataarowai.govt.nz/assets/Drinking-Water-Supplier/Drinking-Water-Quality-Assurance-Rules-2022-Revised-2024.pdf</w:t>
        </w:r>
      </w:hyperlink>
      <w:r>
        <w:t>). Our reporting is, therefore, against those rules.</w:t>
      </w:r>
    </w:p>
  </w:footnote>
  <w:footnote w:id="57">
    <w:p w14:paraId="7F023513" w14:textId="544C459B" w:rsidR="0039333D" w:rsidRDefault="0039333D">
      <w:pPr>
        <w:pStyle w:val="FootnoteText"/>
      </w:pPr>
      <w:r>
        <w:rPr>
          <w:rStyle w:val="FootnoteReference"/>
        </w:rPr>
        <w:footnoteRef/>
      </w:r>
      <w:r>
        <w:t xml:space="preserve"> </w:t>
      </w:r>
      <w:r w:rsidRPr="0039333D">
        <w:t xml:space="preserve">STE value reported as </w:t>
      </w:r>
      <w:proofErr w:type="gramStart"/>
      <w:r w:rsidRPr="0039333D">
        <w:t>at</w:t>
      </w:r>
      <w:proofErr w:type="gramEnd"/>
      <w:r w:rsidRPr="0039333D">
        <w:t xml:space="preserve"> 30 June 2025 was based on the best information available at the </w:t>
      </w:r>
      <w:proofErr w:type="gramStart"/>
      <w:r w:rsidRPr="0039333D">
        <w:t>time, but</w:t>
      </w:r>
      <w:proofErr w:type="gramEnd"/>
      <w:r w:rsidRPr="0039333D">
        <w:t xml:space="preserve"> has subsequently been identified as calculated using some invalid data with a very minor impact on the overall result.</w:t>
      </w:r>
    </w:p>
  </w:footnote>
  <w:footnote w:id="58">
    <w:p w14:paraId="6A2D1059" w14:textId="7C170830" w:rsidR="00D75692" w:rsidRDefault="00D75692">
      <w:pPr>
        <w:pStyle w:val="FootnoteText"/>
      </w:pPr>
      <w:r>
        <w:rPr>
          <w:rStyle w:val="FootnoteReference"/>
        </w:rPr>
        <w:footnoteRef/>
      </w:r>
      <w:r>
        <w:t xml:space="preserve"> </w:t>
      </w:r>
      <w:hyperlink r:id="rId53" w:history="1">
        <w:r w:rsidRPr="005679ED">
          <w:rPr>
            <w:rStyle w:val="Hyperlink"/>
          </w:rPr>
          <w:t>https://www.civildefence.govt.nz/assets/Uploads/documents/public-education/disaster-preparedness-survey/report-disaster-preparedness-survey-en-jul21.pdf</w:t>
        </w:r>
      </w:hyperlink>
    </w:p>
  </w:footnote>
  <w:footnote w:id="59">
    <w:p w14:paraId="3933E216" w14:textId="73EB61C1" w:rsidR="00DE45E8" w:rsidRDefault="00DE45E8" w:rsidP="00DE45E8">
      <w:pPr>
        <w:pStyle w:val="FootnoteText"/>
      </w:pPr>
      <w:r>
        <w:rPr>
          <w:rStyle w:val="FootnoteReference"/>
        </w:rPr>
        <w:footnoteRef/>
      </w:r>
      <w:r>
        <w:t xml:space="preserve"> The Total Recordable Injury Frequency Rate (TRIFR) KPI target was incorrectly published as &lt;8 in the </w:t>
      </w:r>
      <w:proofErr w:type="gramStart"/>
      <w:r>
        <w:t>Long Term</w:t>
      </w:r>
      <w:proofErr w:type="gramEnd"/>
      <w:r>
        <w:t xml:space="preserve"> Plan 2024-34 adopted by Council on 19 September 2024. The KPI target for TRIFR is &lt;9. The KPI target is therefore shown as intended in this report, with the published error clearly acknowledged.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F76"/>
    <w:multiLevelType w:val="hybridMultilevel"/>
    <w:tmpl w:val="B712BF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1A4166B"/>
    <w:multiLevelType w:val="hybridMultilevel"/>
    <w:tmpl w:val="9C088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744518"/>
    <w:multiLevelType w:val="hybridMultilevel"/>
    <w:tmpl w:val="D7E288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5E313F"/>
    <w:multiLevelType w:val="hybridMultilevel"/>
    <w:tmpl w:val="0B36608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6A232C3"/>
    <w:multiLevelType w:val="hybridMultilevel"/>
    <w:tmpl w:val="C79AF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367A77"/>
    <w:multiLevelType w:val="hybridMultilevel"/>
    <w:tmpl w:val="09F8E2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A477C4B"/>
    <w:multiLevelType w:val="hybridMultilevel"/>
    <w:tmpl w:val="338E18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917285"/>
    <w:multiLevelType w:val="hybridMultilevel"/>
    <w:tmpl w:val="4B5466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C956121"/>
    <w:multiLevelType w:val="hybridMultilevel"/>
    <w:tmpl w:val="1C2E95F2"/>
    <w:lvl w:ilvl="0" w:tplc="DF3ED850">
      <w:start w:val="4"/>
      <w:numFmt w:val="bullet"/>
      <w:lvlText w:val="•"/>
      <w:lvlJc w:val="left"/>
      <w:pPr>
        <w:ind w:left="720" w:hanging="720"/>
      </w:pPr>
      <w:rPr>
        <w:rFonts w:ascii="Aptos" w:eastAsiaTheme="minorHAnsi" w:hAnsi="Aptos"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0E101DA8"/>
    <w:multiLevelType w:val="hybridMultilevel"/>
    <w:tmpl w:val="B576F6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FF732B5"/>
    <w:multiLevelType w:val="hybridMultilevel"/>
    <w:tmpl w:val="13E6D044"/>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15A10121"/>
    <w:multiLevelType w:val="hybridMultilevel"/>
    <w:tmpl w:val="D82E0F4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163D4903"/>
    <w:multiLevelType w:val="hybridMultilevel"/>
    <w:tmpl w:val="84DC8BC4"/>
    <w:lvl w:ilvl="0" w:tplc="DF3ED850">
      <w:start w:val="4"/>
      <w:numFmt w:val="bullet"/>
      <w:lvlText w:val="•"/>
      <w:lvlJc w:val="left"/>
      <w:pPr>
        <w:ind w:left="720" w:hanging="72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A8342B7"/>
    <w:multiLevelType w:val="hybridMultilevel"/>
    <w:tmpl w:val="75C6C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A3577EB"/>
    <w:multiLevelType w:val="hybridMultilevel"/>
    <w:tmpl w:val="93A82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AE6FBD"/>
    <w:multiLevelType w:val="hybridMultilevel"/>
    <w:tmpl w:val="F98E67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CFF6470"/>
    <w:multiLevelType w:val="hybridMultilevel"/>
    <w:tmpl w:val="ACD88F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2DD16165"/>
    <w:multiLevelType w:val="hybridMultilevel"/>
    <w:tmpl w:val="584858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24E2864"/>
    <w:multiLevelType w:val="hybridMultilevel"/>
    <w:tmpl w:val="A634C4F0"/>
    <w:lvl w:ilvl="0" w:tplc="14090001">
      <w:start w:val="1"/>
      <w:numFmt w:val="bullet"/>
      <w:lvlText w:val=""/>
      <w:lvlJc w:val="left"/>
      <w:pPr>
        <w:ind w:left="360" w:hanging="360"/>
      </w:pPr>
      <w:rPr>
        <w:rFonts w:ascii="Symbol" w:hAnsi="Symbol" w:hint="default"/>
      </w:rPr>
    </w:lvl>
    <w:lvl w:ilvl="1" w:tplc="ADFAD56C">
      <w:start w:val="4"/>
      <w:numFmt w:val="bullet"/>
      <w:lvlText w:val="•"/>
      <w:lvlJc w:val="left"/>
      <w:pPr>
        <w:ind w:left="1080" w:hanging="360"/>
      </w:pPr>
      <w:rPr>
        <w:rFonts w:ascii="Aptos" w:eastAsiaTheme="minorHAnsi" w:hAnsi="Aptos" w:cstheme="minorBidi"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AB91C11"/>
    <w:multiLevelType w:val="hybridMultilevel"/>
    <w:tmpl w:val="BBC061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B4C0C3A"/>
    <w:multiLevelType w:val="hybridMultilevel"/>
    <w:tmpl w:val="43FA2A48"/>
    <w:lvl w:ilvl="0" w:tplc="2E18CFB2">
      <w:numFmt w:val="bullet"/>
      <w:lvlText w:val="-"/>
      <w:lvlJc w:val="left"/>
      <w:pPr>
        <w:ind w:left="1080" w:hanging="360"/>
      </w:pPr>
      <w:rPr>
        <w:rFonts w:ascii="Aptos" w:eastAsiaTheme="minorHAnsi" w:hAnsi="Aptos"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418B3C2D"/>
    <w:multiLevelType w:val="hybridMultilevel"/>
    <w:tmpl w:val="B70CB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1B03689"/>
    <w:multiLevelType w:val="hybridMultilevel"/>
    <w:tmpl w:val="E28813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55B79E1"/>
    <w:multiLevelType w:val="hybridMultilevel"/>
    <w:tmpl w:val="EA3CB48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15:restartNumberingAfterBreak="0">
    <w:nsid w:val="45C4353B"/>
    <w:multiLevelType w:val="hybridMultilevel"/>
    <w:tmpl w:val="D692621E"/>
    <w:lvl w:ilvl="0" w:tplc="1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95F1890"/>
    <w:multiLevelType w:val="hybridMultilevel"/>
    <w:tmpl w:val="27AEB3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E0E471E"/>
    <w:multiLevelType w:val="hybridMultilevel"/>
    <w:tmpl w:val="FDAA1EA2"/>
    <w:lvl w:ilvl="0" w:tplc="FFFFFFFF">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2F961BD"/>
    <w:multiLevelType w:val="hybridMultilevel"/>
    <w:tmpl w:val="979243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33E45C1"/>
    <w:multiLevelType w:val="hybridMultilevel"/>
    <w:tmpl w:val="985C7C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7D14727"/>
    <w:multiLevelType w:val="hybridMultilevel"/>
    <w:tmpl w:val="D31EBD18"/>
    <w:lvl w:ilvl="0" w:tplc="DF3ED850">
      <w:start w:val="4"/>
      <w:numFmt w:val="bullet"/>
      <w:lvlText w:val="•"/>
      <w:lvlJc w:val="left"/>
      <w:pPr>
        <w:ind w:left="720" w:hanging="72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DD92AD6"/>
    <w:multiLevelType w:val="hybridMultilevel"/>
    <w:tmpl w:val="430CA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EBD4FB8"/>
    <w:multiLevelType w:val="hybridMultilevel"/>
    <w:tmpl w:val="0D7EE7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F6144AC"/>
    <w:multiLevelType w:val="hybridMultilevel"/>
    <w:tmpl w:val="9B244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0E45ACA"/>
    <w:multiLevelType w:val="hybridMultilevel"/>
    <w:tmpl w:val="93C0BA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4D04124"/>
    <w:multiLevelType w:val="hybridMultilevel"/>
    <w:tmpl w:val="9752B34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65A96106"/>
    <w:multiLevelType w:val="hybridMultilevel"/>
    <w:tmpl w:val="EE480966"/>
    <w:lvl w:ilvl="0" w:tplc="2E18CFB2">
      <w:numFmt w:val="bullet"/>
      <w:lvlText w:val="-"/>
      <w:lvlJc w:val="left"/>
      <w:pPr>
        <w:ind w:left="1800" w:hanging="360"/>
      </w:pPr>
      <w:rPr>
        <w:rFonts w:ascii="Aptos" w:eastAsiaTheme="minorHAnsi" w:hAnsi="Aptos"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6" w15:restartNumberingAfterBreak="0">
    <w:nsid w:val="67D51910"/>
    <w:multiLevelType w:val="hybridMultilevel"/>
    <w:tmpl w:val="63F66C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EB03474"/>
    <w:multiLevelType w:val="hybridMultilevel"/>
    <w:tmpl w:val="EFC292AE"/>
    <w:lvl w:ilvl="0" w:tplc="2E18CFB2">
      <w:numFmt w:val="bullet"/>
      <w:lvlText w:val="-"/>
      <w:lvlJc w:val="left"/>
      <w:pPr>
        <w:ind w:left="108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0F071E4"/>
    <w:multiLevelType w:val="hybridMultilevel"/>
    <w:tmpl w:val="53126CCE"/>
    <w:lvl w:ilvl="0" w:tplc="1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2E51013"/>
    <w:multiLevelType w:val="hybridMultilevel"/>
    <w:tmpl w:val="5FCC8906"/>
    <w:lvl w:ilvl="0" w:tplc="14090001">
      <w:start w:val="1"/>
      <w:numFmt w:val="bullet"/>
      <w:lvlText w:val=""/>
      <w:lvlJc w:val="left"/>
      <w:pPr>
        <w:ind w:left="360" w:hanging="360"/>
      </w:pPr>
      <w:rPr>
        <w:rFonts w:ascii="Symbol" w:hAnsi="Symbol" w:hint="default"/>
      </w:rPr>
    </w:lvl>
    <w:lvl w:ilvl="1" w:tplc="47A62CFA">
      <w:start w:val="4"/>
      <w:numFmt w:val="bullet"/>
      <w:lvlText w:val="•"/>
      <w:lvlJc w:val="left"/>
      <w:pPr>
        <w:ind w:left="1440" w:hanging="720"/>
      </w:pPr>
      <w:rPr>
        <w:rFonts w:ascii="Aptos" w:eastAsiaTheme="minorHAnsi" w:hAnsi="Aptos" w:cstheme="minorBidi"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6AF5F4F"/>
    <w:multiLevelType w:val="hybridMultilevel"/>
    <w:tmpl w:val="3022CE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76FC6A2D"/>
    <w:multiLevelType w:val="hybridMultilevel"/>
    <w:tmpl w:val="113817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B316126"/>
    <w:multiLevelType w:val="hybridMultilevel"/>
    <w:tmpl w:val="5ADC3E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42132310">
    <w:abstractNumId w:val="5"/>
  </w:num>
  <w:num w:numId="2" w16cid:durableId="1370497822">
    <w:abstractNumId w:val="33"/>
  </w:num>
  <w:num w:numId="3" w16cid:durableId="1055393036">
    <w:abstractNumId w:val="19"/>
  </w:num>
  <w:num w:numId="4" w16cid:durableId="1434865631">
    <w:abstractNumId w:val="30"/>
  </w:num>
  <w:num w:numId="5" w16cid:durableId="1972243501">
    <w:abstractNumId w:val="27"/>
  </w:num>
  <w:num w:numId="6" w16cid:durableId="822090586">
    <w:abstractNumId w:val="1"/>
  </w:num>
  <w:num w:numId="7" w16cid:durableId="1325815799">
    <w:abstractNumId w:val="32"/>
  </w:num>
  <w:num w:numId="8" w16cid:durableId="313263376">
    <w:abstractNumId w:val="41"/>
  </w:num>
  <w:num w:numId="9" w16cid:durableId="1161039768">
    <w:abstractNumId w:val="42"/>
  </w:num>
  <w:num w:numId="10" w16cid:durableId="929312304">
    <w:abstractNumId w:val="15"/>
  </w:num>
  <w:num w:numId="11" w16cid:durableId="1845702391">
    <w:abstractNumId w:val="4"/>
  </w:num>
  <w:num w:numId="12" w16cid:durableId="2095204693">
    <w:abstractNumId w:val="20"/>
  </w:num>
  <w:num w:numId="13" w16cid:durableId="397554456">
    <w:abstractNumId w:val="35"/>
  </w:num>
  <w:num w:numId="14" w16cid:durableId="1657562904">
    <w:abstractNumId w:val="23"/>
  </w:num>
  <w:num w:numId="15" w16cid:durableId="785736771">
    <w:abstractNumId w:val="13"/>
  </w:num>
  <w:num w:numId="16" w16cid:durableId="1989092478">
    <w:abstractNumId w:val="22"/>
  </w:num>
  <w:num w:numId="17" w16cid:durableId="360788928">
    <w:abstractNumId w:val="2"/>
  </w:num>
  <w:num w:numId="18" w16cid:durableId="2144734194">
    <w:abstractNumId w:val="37"/>
  </w:num>
  <w:num w:numId="19" w16cid:durableId="1990549512">
    <w:abstractNumId w:val="36"/>
  </w:num>
  <w:num w:numId="20" w16cid:durableId="1577016316">
    <w:abstractNumId w:val="7"/>
  </w:num>
  <w:num w:numId="21" w16cid:durableId="1093745470">
    <w:abstractNumId w:val="6"/>
  </w:num>
  <w:num w:numId="22" w16cid:durableId="706024782">
    <w:abstractNumId w:val="9"/>
  </w:num>
  <w:num w:numId="23" w16cid:durableId="1973515370">
    <w:abstractNumId w:val="28"/>
  </w:num>
  <w:num w:numId="24" w16cid:durableId="1811939537">
    <w:abstractNumId w:val="0"/>
  </w:num>
  <w:num w:numId="25" w16cid:durableId="1967080680">
    <w:abstractNumId w:val="16"/>
  </w:num>
  <w:num w:numId="26" w16cid:durableId="1824397007">
    <w:abstractNumId w:val="17"/>
  </w:num>
  <w:num w:numId="27" w16cid:durableId="1502089349">
    <w:abstractNumId w:val="34"/>
  </w:num>
  <w:num w:numId="28" w16cid:durableId="256794443">
    <w:abstractNumId w:val="11"/>
  </w:num>
  <w:num w:numId="29" w16cid:durableId="245923812">
    <w:abstractNumId w:val="38"/>
  </w:num>
  <w:num w:numId="30" w16cid:durableId="1172529164">
    <w:abstractNumId w:val="24"/>
  </w:num>
  <w:num w:numId="31" w16cid:durableId="1653289370">
    <w:abstractNumId w:val="10"/>
  </w:num>
  <w:num w:numId="32" w16cid:durableId="1935824632">
    <w:abstractNumId w:val="18"/>
  </w:num>
  <w:num w:numId="33" w16cid:durableId="357241302">
    <w:abstractNumId w:val="26"/>
  </w:num>
  <w:num w:numId="34" w16cid:durableId="226306119">
    <w:abstractNumId w:val="39"/>
  </w:num>
  <w:num w:numId="35" w16cid:durableId="1364132372">
    <w:abstractNumId w:val="40"/>
  </w:num>
  <w:num w:numId="36" w16cid:durableId="11028804">
    <w:abstractNumId w:val="3"/>
  </w:num>
  <w:num w:numId="37" w16cid:durableId="1337001679">
    <w:abstractNumId w:val="31"/>
  </w:num>
  <w:num w:numId="38" w16cid:durableId="1249928714">
    <w:abstractNumId w:val="25"/>
  </w:num>
  <w:num w:numId="39" w16cid:durableId="185485964">
    <w:abstractNumId w:val="14"/>
  </w:num>
  <w:num w:numId="40" w16cid:durableId="1343047936">
    <w:abstractNumId w:val="21"/>
  </w:num>
  <w:num w:numId="41" w16cid:durableId="840202057">
    <w:abstractNumId w:val="8"/>
  </w:num>
  <w:num w:numId="42" w16cid:durableId="1792280771">
    <w:abstractNumId w:val="29"/>
  </w:num>
  <w:num w:numId="43" w16cid:durableId="2048599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38"/>
    <w:rsid w:val="00004936"/>
    <w:rsid w:val="000075FC"/>
    <w:rsid w:val="00021E5A"/>
    <w:rsid w:val="00033DC6"/>
    <w:rsid w:val="000525E9"/>
    <w:rsid w:val="000609BE"/>
    <w:rsid w:val="00070223"/>
    <w:rsid w:val="00074065"/>
    <w:rsid w:val="00076EA2"/>
    <w:rsid w:val="00090821"/>
    <w:rsid w:val="000A00BD"/>
    <w:rsid w:val="000D615B"/>
    <w:rsid w:val="000E126E"/>
    <w:rsid w:val="000E51C5"/>
    <w:rsid w:val="000E6E54"/>
    <w:rsid w:val="00102163"/>
    <w:rsid w:val="001034CF"/>
    <w:rsid w:val="00115881"/>
    <w:rsid w:val="00116C0F"/>
    <w:rsid w:val="00131EE6"/>
    <w:rsid w:val="00142868"/>
    <w:rsid w:val="00155B48"/>
    <w:rsid w:val="0016505C"/>
    <w:rsid w:val="001662A9"/>
    <w:rsid w:val="00172BDA"/>
    <w:rsid w:val="001854E1"/>
    <w:rsid w:val="00197F62"/>
    <w:rsid w:val="001B087B"/>
    <w:rsid w:val="001C3130"/>
    <w:rsid w:val="001D4133"/>
    <w:rsid w:val="001E55CC"/>
    <w:rsid w:val="001F2E1D"/>
    <w:rsid w:val="0020291C"/>
    <w:rsid w:val="00206384"/>
    <w:rsid w:val="002213F4"/>
    <w:rsid w:val="00237D32"/>
    <w:rsid w:val="00237FCA"/>
    <w:rsid w:val="00246A41"/>
    <w:rsid w:val="002547CD"/>
    <w:rsid w:val="0026039A"/>
    <w:rsid w:val="00266F94"/>
    <w:rsid w:val="0027145D"/>
    <w:rsid w:val="0027184F"/>
    <w:rsid w:val="0027245D"/>
    <w:rsid w:val="0027615E"/>
    <w:rsid w:val="00276D3B"/>
    <w:rsid w:val="002A3A5C"/>
    <w:rsid w:val="002A4B49"/>
    <w:rsid w:val="002C4DBC"/>
    <w:rsid w:val="002F6D46"/>
    <w:rsid w:val="003047EA"/>
    <w:rsid w:val="0030567B"/>
    <w:rsid w:val="00321D6F"/>
    <w:rsid w:val="0034090C"/>
    <w:rsid w:val="00350605"/>
    <w:rsid w:val="003507EF"/>
    <w:rsid w:val="00364C40"/>
    <w:rsid w:val="0036533F"/>
    <w:rsid w:val="00373A3C"/>
    <w:rsid w:val="0038438C"/>
    <w:rsid w:val="00387CDB"/>
    <w:rsid w:val="0039333D"/>
    <w:rsid w:val="00395A85"/>
    <w:rsid w:val="00397E76"/>
    <w:rsid w:val="003A7329"/>
    <w:rsid w:val="003B2F8D"/>
    <w:rsid w:val="003B6BAC"/>
    <w:rsid w:val="003C1536"/>
    <w:rsid w:val="003C3B9F"/>
    <w:rsid w:val="003E393F"/>
    <w:rsid w:val="00400FAB"/>
    <w:rsid w:val="004270A1"/>
    <w:rsid w:val="00430F02"/>
    <w:rsid w:val="00437B39"/>
    <w:rsid w:val="00444BD0"/>
    <w:rsid w:val="00450CF3"/>
    <w:rsid w:val="0045194D"/>
    <w:rsid w:val="00464CE7"/>
    <w:rsid w:val="00465380"/>
    <w:rsid w:val="00485CC4"/>
    <w:rsid w:val="0049502E"/>
    <w:rsid w:val="004A381B"/>
    <w:rsid w:val="004B12DA"/>
    <w:rsid w:val="004E329A"/>
    <w:rsid w:val="00500872"/>
    <w:rsid w:val="00522312"/>
    <w:rsid w:val="00524A94"/>
    <w:rsid w:val="00542CBF"/>
    <w:rsid w:val="00552443"/>
    <w:rsid w:val="00563CE9"/>
    <w:rsid w:val="00566296"/>
    <w:rsid w:val="00566819"/>
    <w:rsid w:val="0057269A"/>
    <w:rsid w:val="00572B47"/>
    <w:rsid w:val="00577B2C"/>
    <w:rsid w:val="00581FDD"/>
    <w:rsid w:val="00592253"/>
    <w:rsid w:val="005D62B6"/>
    <w:rsid w:val="005E1AB7"/>
    <w:rsid w:val="005F017C"/>
    <w:rsid w:val="0061724E"/>
    <w:rsid w:val="006246DA"/>
    <w:rsid w:val="00663514"/>
    <w:rsid w:val="00666CF3"/>
    <w:rsid w:val="006D63DC"/>
    <w:rsid w:val="006E083F"/>
    <w:rsid w:val="006F19A8"/>
    <w:rsid w:val="006F4B5B"/>
    <w:rsid w:val="00716BBA"/>
    <w:rsid w:val="007242A5"/>
    <w:rsid w:val="00724CAE"/>
    <w:rsid w:val="00725FF7"/>
    <w:rsid w:val="00744D4C"/>
    <w:rsid w:val="00751848"/>
    <w:rsid w:val="00760AC1"/>
    <w:rsid w:val="00763425"/>
    <w:rsid w:val="00781B9E"/>
    <w:rsid w:val="00786406"/>
    <w:rsid w:val="00794190"/>
    <w:rsid w:val="007B27E4"/>
    <w:rsid w:val="007D24BB"/>
    <w:rsid w:val="007E007B"/>
    <w:rsid w:val="007E4105"/>
    <w:rsid w:val="007F5741"/>
    <w:rsid w:val="00825933"/>
    <w:rsid w:val="008313BC"/>
    <w:rsid w:val="00840690"/>
    <w:rsid w:val="00843809"/>
    <w:rsid w:val="00897E8B"/>
    <w:rsid w:val="008C72E9"/>
    <w:rsid w:val="008E26FD"/>
    <w:rsid w:val="008E4A9B"/>
    <w:rsid w:val="008F265C"/>
    <w:rsid w:val="008F521F"/>
    <w:rsid w:val="00911923"/>
    <w:rsid w:val="009268E6"/>
    <w:rsid w:val="009374B1"/>
    <w:rsid w:val="009450C9"/>
    <w:rsid w:val="0094574E"/>
    <w:rsid w:val="00947ECA"/>
    <w:rsid w:val="009512FB"/>
    <w:rsid w:val="00951D54"/>
    <w:rsid w:val="00953218"/>
    <w:rsid w:val="00955EF7"/>
    <w:rsid w:val="00964BD7"/>
    <w:rsid w:val="00966DAA"/>
    <w:rsid w:val="00973559"/>
    <w:rsid w:val="00984629"/>
    <w:rsid w:val="00985DF3"/>
    <w:rsid w:val="00986758"/>
    <w:rsid w:val="009930AD"/>
    <w:rsid w:val="009D2B3D"/>
    <w:rsid w:val="009E727C"/>
    <w:rsid w:val="009F11DE"/>
    <w:rsid w:val="009F247D"/>
    <w:rsid w:val="00A00DC3"/>
    <w:rsid w:val="00A030B4"/>
    <w:rsid w:val="00A0388A"/>
    <w:rsid w:val="00A13CB7"/>
    <w:rsid w:val="00A24ABD"/>
    <w:rsid w:val="00A342AA"/>
    <w:rsid w:val="00A3741D"/>
    <w:rsid w:val="00A43399"/>
    <w:rsid w:val="00A45112"/>
    <w:rsid w:val="00A4667C"/>
    <w:rsid w:val="00A76510"/>
    <w:rsid w:val="00A8394C"/>
    <w:rsid w:val="00A84A8B"/>
    <w:rsid w:val="00AA6814"/>
    <w:rsid w:val="00AB31C0"/>
    <w:rsid w:val="00AC4EDB"/>
    <w:rsid w:val="00AE1CC6"/>
    <w:rsid w:val="00AE516B"/>
    <w:rsid w:val="00AF157B"/>
    <w:rsid w:val="00B02D51"/>
    <w:rsid w:val="00B22501"/>
    <w:rsid w:val="00B234A1"/>
    <w:rsid w:val="00B4440A"/>
    <w:rsid w:val="00B62580"/>
    <w:rsid w:val="00B6406D"/>
    <w:rsid w:val="00B8068C"/>
    <w:rsid w:val="00B81D32"/>
    <w:rsid w:val="00B86D69"/>
    <w:rsid w:val="00BA5C93"/>
    <w:rsid w:val="00BA79BF"/>
    <w:rsid w:val="00BB1017"/>
    <w:rsid w:val="00BC08CB"/>
    <w:rsid w:val="00BC6809"/>
    <w:rsid w:val="00BE701A"/>
    <w:rsid w:val="00C02224"/>
    <w:rsid w:val="00C03204"/>
    <w:rsid w:val="00C209EC"/>
    <w:rsid w:val="00C2382B"/>
    <w:rsid w:val="00C23D14"/>
    <w:rsid w:val="00C36B97"/>
    <w:rsid w:val="00C446E6"/>
    <w:rsid w:val="00C44932"/>
    <w:rsid w:val="00C525F5"/>
    <w:rsid w:val="00C53F0C"/>
    <w:rsid w:val="00C559A9"/>
    <w:rsid w:val="00C60028"/>
    <w:rsid w:val="00C72995"/>
    <w:rsid w:val="00C77AE3"/>
    <w:rsid w:val="00C82594"/>
    <w:rsid w:val="00CC6FBB"/>
    <w:rsid w:val="00CE590C"/>
    <w:rsid w:val="00CF1D26"/>
    <w:rsid w:val="00CF55FD"/>
    <w:rsid w:val="00CF5FBF"/>
    <w:rsid w:val="00D1624D"/>
    <w:rsid w:val="00D238FE"/>
    <w:rsid w:val="00D42703"/>
    <w:rsid w:val="00D52E32"/>
    <w:rsid w:val="00D72EFB"/>
    <w:rsid w:val="00D73F98"/>
    <w:rsid w:val="00D75692"/>
    <w:rsid w:val="00D83503"/>
    <w:rsid w:val="00D87AE7"/>
    <w:rsid w:val="00D90579"/>
    <w:rsid w:val="00D910BD"/>
    <w:rsid w:val="00DA19E9"/>
    <w:rsid w:val="00DB0C17"/>
    <w:rsid w:val="00DE1ED2"/>
    <w:rsid w:val="00DE45E8"/>
    <w:rsid w:val="00DE7380"/>
    <w:rsid w:val="00DF5BDF"/>
    <w:rsid w:val="00DF6A85"/>
    <w:rsid w:val="00DF79A0"/>
    <w:rsid w:val="00E1195A"/>
    <w:rsid w:val="00E16746"/>
    <w:rsid w:val="00E255AD"/>
    <w:rsid w:val="00E4398F"/>
    <w:rsid w:val="00E4503A"/>
    <w:rsid w:val="00E46464"/>
    <w:rsid w:val="00E641B6"/>
    <w:rsid w:val="00E74095"/>
    <w:rsid w:val="00E74244"/>
    <w:rsid w:val="00E7507F"/>
    <w:rsid w:val="00EC208E"/>
    <w:rsid w:val="00EE1CBE"/>
    <w:rsid w:val="00F0605C"/>
    <w:rsid w:val="00F10549"/>
    <w:rsid w:val="00F10738"/>
    <w:rsid w:val="00F16708"/>
    <w:rsid w:val="00F23354"/>
    <w:rsid w:val="00F24B9A"/>
    <w:rsid w:val="00F4020D"/>
    <w:rsid w:val="00F40FAF"/>
    <w:rsid w:val="00F81B45"/>
    <w:rsid w:val="00F82C73"/>
    <w:rsid w:val="00F877A3"/>
    <w:rsid w:val="00FA01BA"/>
    <w:rsid w:val="00FA6903"/>
    <w:rsid w:val="00FB29B4"/>
    <w:rsid w:val="00FB73F1"/>
    <w:rsid w:val="00FD3138"/>
    <w:rsid w:val="00FD6A43"/>
    <w:rsid w:val="00FE46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BF3211"/>
  <w15:chartTrackingRefBased/>
  <w15:docId w15:val="{9130AC68-177B-433A-A414-681AB584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F0C"/>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F10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0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10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F0C"/>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F10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0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10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738"/>
    <w:rPr>
      <w:rFonts w:eastAsiaTheme="majorEastAsia" w:cstheme="majorBidi"/>
      <w:color w:val="272727" w:themeColor="text1" w:themeTint="D8"/>
    </w:rPr>
  </w:style>
  <w:style w:type="paragraph" w:styleId="Title">
    <w:name w:val="Title"/>
    <w:basedOn w:val="Normal"/>
    <w:next w:val="Normal"/>
    <w:link w:val="TitleChar"/>
    <w:uiPriority w:val="10"/>
    <w:qFormat/>
    <w:rsid w:val="00F10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738"/>
    <w:pPr>
      <w:spacing w:before="160"/>
      <w:jc w:val="center"/>
    </w:pPr>
    <w:rPr>
      <w:i/>
      <w:iCs/>
      <w:color w:val="404040" w:themeColor="text1" w:themeTint="BF"/>
    </w:rPr>
  </w:style>
  <w:style w:type="character" w:customStyle="1" w:styleId="QuoteChar">
    <w:name w:val="Quote Char"/>
    <w:basedOn w:val="DefaultParagraphFont"/>
    <w:link w:val="Quote"/>
    <w:uiPriority w:val="29"/>
    <w:rsid w:val="00F10738"/>
    <w:rPr>
      <w:i/>
      <w:iCs/>
      <w:color w:val="404040" w:themeColor="text1" w:themeTint="BF"/>
    </w:rPr>
  </w:style>
  <w:style w:type="paragraph" w:styleId="ListParagraph">
    <w:name w:val="List Paragraph"/>
    <w:basedOn w:val="Normal"/>
    <w:uiPriority w:val="34"/>
    <w:qFormat/>
    <w:rsid w:val="00F10738"/>
    <w:pPr>
      <w:ind w:left="720"/>
      <w:contextualSpacing/>
    </w:pPr>
  </w:style>
  <w:style w:type="character" w:styleId="IntenseEmphasis">
    <w:name w:val="Intense Emphasis"/>
    <w:basedOn w:val="DefaultParagraphFont"/>
    <w:uiPriority w:val="21"/>
    <w:qFormat/>
    <w:rsid w:val="00F10738"/>
    <w:rPr>
      <w:i/>
      <w:iCs/>
      <w:color w:val="0F4761" w:themeColor="accent1" w:themeShade="BF"/>
    </w:rPr>
  </w:style>
  <w:style w:type="paragraph" w:styleId="IntenseQuote">
    <w:name w:val="Intense Quote"/>
    <w:basedOn w:val="Normal"/>
    <w:next w:val="Normal"/>
    <w:link w:val="IntenseQuoteChar"/>
    <w:uiPriority w:val="30"/>
    <w:qFormat/>
    <w:rsid w:val="00F10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738"/>
    <w:rPr>
      <w:i/>
      <w:iCs/>
      <w:color w:val="0F4761" w:themeColor="accent1" w:themeShade="BF"/>
    </w:rPr>
  </w:style>
  <w:style w:type="character" w:styleId="IntenseReference">
    <w:name w:val="Intense Reference"/>
    <w:basedOn w:val="DefaultParagraphFont"/>
    <w:uiPriority w:val="32"/>
    <w:qFormat/>
    <w:rsid w:val="00F10738"/>
    <w:rPr>
      <w:b/>
      <w:bCs/>
      <w:smallCaps/>
      <w:color w:val="0F4761" w:themeColor="accent1" w:themeShade="BF"/>
      <w:spacing w:val="5"/>
    </w:rPr>
  </w:style>
  <w:style w:type="paragraph" w:styleId="Header">
    <w:name w:val="header"/>
    <w:basedOn w:val="Normal"/>
    <w:link w:val="HeaderChar"/>
    <w:uiPriority w:val="99"/>
    <w:unhideWhenUsed/>
    <w:rsid w:val="00F87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7A3"/>
  </w:style>
  <w:style w:type="paragraph" w:styleId="Footer">
    <w:name w:val="footer"/>
    <w:basedOn w:val="Normal"/>
    <w:link w:val="FooterChar"/>
    <w:uiPriority w:val="99"/>
    <w:unhideWhenUsed/>
    <w:rsid w:val="00F87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7A3"/>
  </w:style>
  <w:style w:type="paragraph" w:styleId="FootnoteText">
    <w:name w:val="footnote text"/>
    <w:basedOn w:val="Normal"/>
    <w:link w:val="FootnoteTextChar"/>
    <w:uiPriority w:val="99"/>
    <w:semiHidden/>
    <w:unhideWhenUsed/>
    <w:rsid w:val="003507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7EF"/>
    <w:rPr>
      <w:sz w:val="20"/>
      <w:szCs w:val="20"/>
    </w:rPr>
  </w:style>
  <w:style w:type="character" w:styleId="FootnoteReference">
    <w:name w:val="footnote reference"/>
    <w:basedOn w:val="DefaultParagraphFont"/>
    <w:uiPriority w:val="99"/>
    <w:semiHidden/>
    <w:unhideWhenUsed/>
    <w:rsid w:val="003507EF"/>
    <w:rPr>
      <w:vertAlign w:val="superscript"/>
    </w:rPr>
  </w:style>
  <w:style w:type="character" w:styleId="Hyperlink">
    <w:name w:val="Hyperlink"/>
    <w:basedOn w:val="DefaultParagraphFont"/>
    <w:uiPriority w:val="99"/>
    <w:unhideWhenUsed/>
    <w:rsid w:val="009374B1"/>
    <w:rPr>
      <w:color w:val="467886" w:themeColor="hyperlink"/>
      <w:u w:val="single"/>
    </w:rPr>
  </w:style>
  <w:style w:type="character" w:styleId="UnresolvedMention">
    <w:name w:val="Unresolved Mention"/>
    <w:basedOn w:val="DefaultParagraphFont"/>
    <w:uiPriority w:val="99"/>
    <w:semiHidden/>
    <w:unhideWhenUsed/>
    <w:rsid w:val="009374B1"/>
    <w:rPr>
      <w:color w:val="605E5C"/>
      <w:shd w:val="clear" w:color="auto" w:fill="E1DFDD"/>
    </w:rPr>
  </w:style>
  <w:style w:type="table" w:styleId="TableGrid">
    <w:name w:val="Table Grid"/>
    <w:basedOn w:val="TableNormal"/>
    <w:uiPriority w:val="39"/>
    <w:rsid w:val="00A43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53F0C"/>
    <w:pPr>
      <w:spacing w:before="240" w:after="0"/>
      <w:outlineLvl w:val="9"/>
    </w:pPr>
    <w:rPr>
      <w:kern w:val="0"/>
      <w:sz w:val="32"/>
      <w:szCs w:val="32"/>
      <w:lang w:val="en-US"/>
      <w14:ligatures w14:val="none"/>
    </w:rPr>
  </w:style>
  <w:style w:type="character" w:styleId="Strong">
    <w:name w:val="Strong"/>
    <w:basedOn w:val="DefaultParagraphFont"/>
    <w:uiPriority w:val="22"/>
    <w:qFormat/>
    <w:rsid w:val="00C53F0C"/>
    <w:rPr>
      <w:b/>
      <w:bCs/>
    </w:rPr>
  </w:style>
  <w:style w:type="paragraph" w:styleId="NoSpacing">
    <w:name w:val="No Spacing"/>
    <w:uiPriority w:val="1"/>
    <w:qFormat/>
    <w:rsid w:val="00C53F0C"/>
    <w:pPr>
      <w:spacing w:after="0" w:line="240" w:lineRule="auto"/>
    </w:pPr>
  </w:style>
  <w:style w:type="paragraph" w:styleId="TOC1">
    <w:name w:val="toc 1"/>
    <w:basedOn w:val="Normal"/>
    <w:next w:val="Normal"/>
    <w:autoRedefine/>
    <w:uiPriority w:val="39"/>
    <w:unhideWhenUsed/>
    <w:rsid w:val="00A13CB7"/>
    <w:pPr>
      <w:spacing w:after="100"/>
    </w:pPr>
  </w:style>
  <w:style w:type="paragraph" w:styleId="TOC2">
    <w:name w:val="toc 2"/>
    <w:basedOn w:val="Normal"/>
    <w:next w:val="Normal"/>
    <w:autoRedefine/>
    <w:uiPriority w:val="39"/>
    <w:unhideWhenUsed/>
    <w:rsid w:val="00A13CB7"/>
    <w:pPr>
      <w:spacing w:after="100"/>
      <w:ind w:left="220"/>
    </w:pPr>
  </w:style>
  <w:style w:type="paragraph" w:customStyle="1" w:styleId="header--redhighlight">
    <w:name w:val="header -- red highlight"/>
    <w:basedOn w:val="Normal"/>
    <w:uiPriority w:val="99"/>
    <w:rsid w:val="00465380"/>
    <w:pPr>
      <w:suppressAutoHyphens/>
      <w:autoSpaceDE w:val="0"/>
      <w:autoSpaceDN w:val="0"/>
      <w:adjustRightInd w:val="0"/>
      <w:spacing w:after="227" w:line="360" w:lineRule="atLeast"/>
      <w:textAlignment w:val="center"/>
    </w:pPr>
    <w:rPr>
      <w:rFonts w:ascii="HelveticaNeueLT Std" w:hAnsi="HelveticaNeueLT Std" w:cs="HelveticaNeueLT Std"/>
      <w:b/>
      <w:bCs/>
      <w:color w:val="000000"/>
      <w:kern w:val="0"/>
      <w:sz w:val="30"/>
      <w:szCs w:val="30"/>
      <w:u w:val="thick" w:color="F5E0C5"/>
      <w:lang w:val="en-GB"/>
    </w:rPr>
  </w:style>
  <w:style w:type="character" w:styleId="FollowedHyperlink">
    <w:name w:val="FollowedHyperlink"/>
    <w:basedOn w:val="DefaultParagraphFont"/>
    <w:uiPriority w:val="99"/>
    <w:semiHidden/>
    <w:unhideWhenUsed/>
    <w:rsid w:val="008C72E9"/>
    <w:rPr>
      <w:color w:val="96607D" w:themeColor="followedHyperlink"/>
      <w:u w:val="single"/>
    </w:rPr>
  </w:style>
  <w:style w:type="paragraph" w:styleId="TOC3">
    <w:name w:val="toc 3"/>
    <w:basedOn w:val="Normal"/>
    <w:next w:val="Normal"/>
    <w:autoRedefine/>
    <w:uiPriority w:val="39"/>
    <w:unhideWhenUsed/>
    <w:rsid w:val="001C313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84839">
      <w:bodyDiv w:val="1"/>
      <w:marLeft w:val="0"/>
      <w:marRight w:val="0"/>
      <w:marTop w:val="0"/>
      <w:marBottom w:val="0"/>
      <w:divBdr>
        <w:top w:val="none" w:sz="0" w:space="0" w:color="auto"/>
        <w:left w:val="none" w:sz="0" w:space="0" w:color="auto"/>
        <w:bottom w:val="none" w:sz="0" w:space="0" w:color="auto"/>
        <w:right w:val="none" w:sz="0" w:space="0" w:color="auto"/>
      </w:divBdr>
    </w:div>
    <w:div w:id="1157770814">
      <w:bodyDiv w:val="1"/>
      <w:marLeft w:val="0"/>
      <w:marRight w:val="0"/>
      <w:marTop w:val="0"/>
      <w:marBottom w:val="0"/>
      <w:divBdr>
        <w:top w:val="none" w:sz="0" w:space="0" w:color="auto"/>
        <w:left w:val="none" w:sz="0" w:space="0" w:color="auto"/>
        <w:bottom w:val="none" w:sz="0" w:space="0" w:color="auto"/>
        <w:right w:val="none" w:sz="0" w:space="0" w:color="auto"/>
      </w:divBdr>
    </w:div>
    <w:div w:id="126040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s@qldc.govt.nz" TargetMode="External"/><Relationship Id="rId18" Type="http://schemas.openxmlformats.org/officeDocument/2006/relationships/hyperlink" Target="https://nz.linkedin.com/company/queenstown-lakes-district-council" TargetMode="External"/><Relationship Id="rId26" Type="http://schemas.openxmlformats.org/officeDocument/2006/relationships/hyperlink" Target="http://www.qldc.govt.nz"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youtube.com/@qldcinfo"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www.instagram.com/QLDCinfo"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ldc.govt.nz/wellbeing-dashboard" TargetMode="External"/><Relationship Id="rId24"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yperlink" Target="https://www.facebook.com/QLDCinfo"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qldc.govt.nz/your-council/council-documents/long-term-plan-lt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ldc.govt.nz" TargetMode="External"/><Relationship Id="rId22" Type="http://schemas.openxmlformats.org/officeDocument/2006/relationships/image" Target="media/image4.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3" Type="http://schemas.openxmlformats.org/officeDocument/2006/relationships/hyperlink" Target="https://www.legislation.govt.nz/act/public/2024/0031/latest/LMS964380.html" TargetMode="External"/><Relationship Id="rId18" Type="http://schemas.openxmlformats.org/officeDocument/2006/relationships/hyperlink" Target="https://www.qldc.govt.nz/community/community-research/" TargetMode="External"/><Relationship Id="rId26" Type="http://schemas.openxmlformats.org/officeDocument/2006/relationships/hyperlink" Target="https://www.qldc.govt.nz/your-council/major-projects/queenstown-town-centre-arterial/" TargetMode="External"/><Relationship Id="rId39" Type="http://schemas.openxmlformats.org/officeDocument/2006/relationships/hyperlink" Target="https://www.qldc.govt.nz/your-council/major-projects/te-tapuae-southern-corridor/" TargetMode="External"/><Relationship Id="rId21" Type="http://schemas.openxmlformats.org/officeDocument/2006/relationships/hyperlink" Target="https://www.qldc.govt.nz/your-council/climate-change-and-biodiversity/" TargetMode="External"/><Relationship Id="rId34" Type="http://schemas.openxmlformats.org/officeDocument/2006/relationships/hyperlink" Target="https://www.qldc.govt.nz/your-council/council-documents/bylaws/" TargetMode="External"/><Relationship Id="rId42" Type="http://schemas.openxmlformats.org/officeDocument/2006/relationships/hyperlink" Target="https://www.qldc.govt.nz/community/population-and-demand/" TargetMode="External"/><Relationship Id="rId47" Type="http://schemas.openxmlformats.org/officeDocument/2006/relationships/hyperlink" Target="https://www.qldc.govt.nz/your-council/major-projects/shotover-wastewater-treatment-plant/" TargetMode="External"/><Relationship Id="rId50" Type="http://schemas.openxmlformats.org/officeDocument/2006/relationships/hyperlink" Target="https://www.qldc.govt.nz/your-council/sister-cities" TargetMode="External"/><Relationship Id="rId7" Type="http://schemas.openxmlformats.org/officeDocument/2006/relationships/hyperlink" Target="https://www.qldc.govt.nz/community/population-and-demand/" TargetMode="External"/><Relationship Id="rId2" Type="http://schemas.openxmlformats.org/officeDocument/2006/relationships/hyperlink" Target="https://www.qldc.govt.nz/media/hmvpntis/queenstown-lakes-economic-diversification-plan_final.pdf" TargetMode="External"/><Relationship Id="rId16" Type="http://schemas.openxmlformats.org/officeDocument/2006/relationships/hyperlink" Target="https://www.dia.govt.nz/Regional-Deals" TargetMode="External"/><Relationship Id="rId29" Type="http://schemas.openxmlformats.org/officeDocument/2006/relationships/hyperlink" Target="https://www.qldc.govt.nz/your-council/major-projects/water-treatment-upgrades/" TargetMode="External"/><Relationship Id="rId11" Type="http://schemas.openxmlformats.org/officeDocument/2006/relationships/hyperlink" Target="https://www.qv.co.nz/news/new-capital-values-for-rating-in-queenstown-lakes-district/" TargetMode="External"/><Relationship Id="rId24" Type="http://schemas.openxmlformats.org/officeDocument/2006/relationships/hyperlink" Target="https://www.qldc.govt.nz/your-council/major-projects/project-tohu/" TargetMode="External"/><Relationship Id="rId32" Type="http://schemas.openxmlformats.org/officeDocument/2006/relationships/hyperlink" Target="https://www.qldc.govt.nz/your-council/major-projects/wanaka-airport-future-review/" TargetMode="External"/><Relationship Id="rId37" Type="http://schemas.openxmlformats.org/officeDocument/2006/relationships/hyperlink" Target="https://www.qldc.govt.nz/your-council/district-plan/eplans/" TargetMode="External"/><Relationship Id="rId40" Type="http://schemas.openxmlformats.org/officeDocument/2006/relationships/hyperlink" Target="https://environment.govt.nz/acts-and-regulations/acts/fast-track-approvals/" TargetMode="External"/><Relationship Id="rId45" Type="http://schemas.openxmlformats.org/officeDocument/2006/relationships/hyperlink" Target="https://www.qldc.govt.nz/community/community-funding/" TargetMode="External"/><Relationship Id="rId53" Type="http://schemas.openxmlformats.org/officeDocument/2006/relationships/hyperlink" Target="https://www.civildefence.govt.nz/assets/Uploads/documents/public-education/disaster-preparedness-survey/report-disaster-preparedness-survey-en-jul21.pdf" TargetMode="External"/><Relationship Id="rId5" Type="http://schemas.openxmlformats.org/officeDocument/2006/relationships/hyperlink" Target="https://www.qldc.govt.nz/community/community-research" TargetMode="External"/><Relationship Id="rId10" Type="http://schemas.openxmlformats.org/officeDocument/2006/relationships/hyperlink" Target="https://www.qldc.govt.nz/your-council/council-documents/annual-plans/" TargetMode="External"/><Relationship Id="rId19" Type="http://schemas.openxmlformats.org/officeDocument/2006/relationships/hyperlink" Target="https://www.qldc.govt.nz/community/economic-development/" TargetMode="External"/><Relationship Id="rId31" Type="http://schemas.openxmlformats.org/officeDocument/2006/relationships/hyperlink" Target="https://www.qldc.govt.nz/your-council/major-projects/wanaka-airport-certification/" TargetMode="External"/><Relationship Id="rId44" Type="http://schemas.openxmlformats.org/officeDocument/2006/relationships/hyperlink" Target="https://www.qldc.govt.nz/community/newcomers-guide/" TargetMode="External"/><Relationship Id="rId52" Type="http://schemas.openxmlformats.org/officeDocument/2006/relationships/hyperlink" Target="https://www.taumataarowai.govt.nz/assets/Drinking-Water-Supplier/Drinking-Water-Quality-Assurance-Rules-2022-Revised-2024.pdf" TargetMode="External"/><Relationship Id="rId4" Type="http://schemas.openxmlformats.org/officeDocument/2006/relationships/hyperlink" Target="https://tools.summaries.stats.govt.nz/places/TA/queenstown-lakes-district" TargetMode="External"/><Relationship Id="rId9" Type="http://schemas.openxmlformats.org/officeDocument/2006/relationships/hyperlink" Target="https://www.qldc.govt.nz/your-council/council-documents/long-term-plan-ltp/" TargetMode="External"/><Relationship Id="rId14" Type="http://schemas.openxmlformats.org/officeDocument/2006/relationships/hyperlink" Target="https://www.qldc.govt.nz/2025/august/25-08-04-water-services-to-be-managed-and-delivered-by-council-controlled-organisation/" TargetMode="External"/><Relationship Id="rId22" Type="http://schemas.openxmlformats.org/officeDocument/2006/relationships/hyperlink" Target="https://www.qldc.govt.nz/2025/august/25-08-01-council-adopts-ambitious-new-climate-biodiversity-plan-to-accelerate-local-action/" TargetMode="External"/><Relationship Id="rId27" Type="http://schemas.openxmlformats.org/officeDocument/2006/relationships/hyperlink" Target="https://www.qldc.govt.nz/your-council/major-projects/upper-clutha-wastewater-conveyance-scheme/" TargetMode="External"/><Relationship Id="rId30" Type="http://schemas.openxmlformats.org/officeDocument/2006/relationships/hyperlink" Target="https://www.qldc.govt.nz/services/airports/wanaka-airport/" TargetMode="External"/><Relationship Id="rId35" Type="http://schemas.openxmlformats.org/officeDocument/2006/relationships/hyperlink" Target="https://www.qldc.govt.nz/media/urgngoqa/navigation-safety-bylaw-2025-te-ture-a-rohe-mo-te-haumaru-whakatere-2025.pdf" TargetMode="External"/><Relationship Id="rId43" Type="http://schemas.openxmlformats.org/officeDocument/2006/relationships/hyperlink" Target="https://www.qldc.govt.nz/community/welcoming-communities/" TargetMode="External"/><Relationship Id="rId48" Type="http://schemas.openxmlformats.org/officeDocument/2006/relationships/hyperlink" Target="https://letstalk.qldc.govt.nz/" TargetMode="External"/><Relationship Id="rId8" Type="http://schemas.openxmlformats.org/officeDocument/2006/relationships/hyperlink" Target="https://www.qldc.govt.nz/community/community-research" TargetMode="External"/><Relationship Id="rId51" Type="http://schemas.openxmlformats.org/officeDocument/2006/relationships/hyperlink" Target="https://www.qldc.govt.nz/your-council/sister-cities" TargetMode="External"/><Relationship Id="rId3" Type="http://schemas.openxmlformats.org/officeDocument/2006/relationships/hyperlink" Target="https://www.qldc.govt.nz/media/hmvpntis/queenstown-lakes-economic-diversification-plan_final.pdf" TargetMode="External"/><Relationship Id="rId12" Type="http://schemas.openxmlformats.org/officeDocument/2006/relationships/hyperlink" Target="https://www.dia.govt.nz/Water-Services-Policy-legislation-and-process" TargetMode="External"/><Relationship Id="rId17" Type="http://schemas.openxmlformats.org/officeDocument/2006/relationships/hyperlink" Target="https://www.qldc.govt.nz/2025/july/25-07-02-otago-central-lakes-signs-regional-deal-mou-with-government/" TargetMode="External"/><Relationship Id="rId25" Type="http://schemas.openxmlformats.org/officeDocument/2006/relationships/hyperlink" Target="https://www.qldc.govt.nz/your-council/major-projects/wanaka-lakefront-development-plan/" TargetMode="External"/><Relationship Id="rId33" Type="http://schemas.openxmlformats.org/officeDocument/2006/relationships/hyperlink" Target="https://www.queenstownairport.co.nz/" TargetMode="External"/><Relationship Id="rId38" Type="http://schemas.openxmlformats.org/officeDocument/2006/relationships/hyperlink" Target="https://www.qldc.govt.nz/your-council/district-plan/te-putahi-ladies-mile-variation/" TargetMode="External"/><Relationship Id="rId46" Type="http://schemas.openxmlformats.org/officeDocument/2006/relationships/hyperlink" Target="https://www.qldc.govt.nz/your-council/major-projects/101-ballantyne-road-masterplan/" TargetMode="External"/><Relationship Id="rId20" Type="http://schemas.openxmlformats.org/officeDocument/2006/relationships/hyperlink" Target="https://www.qldc.govt.nz/community/economic-development/diversifying-our-economy/" TargetMode="External"/><Relationship Id="rId41" Type="http://schemas.openxmlformats.org/officeDocument/2006/relationships/hyperlink" Target="https://www.qldc.govt.nz/your-council/fast-track-approvals-act/" TargetMode="External"/><Relationship Id="rId1" Type="http://schemas.openxmlformats.org/officeDocument/2006/relationships/hyperlink" Target="https://tools.summaries.stats.govt.nz/places/TA/queenstown-lakes-district/" TargetMode="External"/><Relationship Id="rId6" Type="http://schemas.openxmlformats.org/officeDocument/2006/relationships/hyperlink" Target="https://www.qldc.govt.nz/community/community-research" TargetMode="External"/><Relationship Id="rId15" Type="http://schemas.openxmlformats.org/officeDocument/2006/relationships/hyperlink" Target="https://www.qldc.govt.nz/2025/february/25-02-26-council-confirms-sale-of-commonage-land-block/" TargetMode="External"/><Relationship Id="rId23" Type="http://schemas.openxmlformats.org/officeDocument/2006/relationships/hyperlink" Target="https://www.qldc.govt.nz/your-council/major-projects/mount-iron-reserve-management-plan/" TargetMode="External"/><Relationship Id="rId28" Type="http://schemas.openxmlformats.org/officeDocument/2006/relationships/hyperlink" Target="https://www.qldc.govt.nz/your-council/major-projects/kingston-infrastructure-works/" TargetMode="External"/><Relationship Id="rId36" Type="http://schemas.openxmlformats.org/officeDocument/2006/relationships/hyperlink" Target="https://www.qldc.govt.nz/your-council/district-plan/" TargetMode="External"/><Relationship Id="rId49" Type="http://schemas.openxmlformats.org/officeDocument/2006/relationships/hyperlink" Target="https://www.qldc.govt.nz/your-council/council-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87b2eb-92c5-408c-adec-8d447b1989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D70880320D3C438AEC2F6511A4F920" ma:contentTypeVersion="9" ma:contentTypeDescription="Create a new document." ma:contentTypeScope="" ma:versionID="6916a60d6a5f5b33645b07b52e54c4cd">
  <xsd:schema xmlns:xsd="http://www.w3.org/2001/XMLSchema" xmlns:xs="http://www.w3.org/2001/XMLSchema" xmlns:p="http://schemas.microsoft.com/office/2006/metadata/properties" xmlns:ns2="fe87b2eb-92c5-408c-adec-8d447b1989d9" targetNamespace="http://schemas.microsoft.com/office/2006/metadata/properties" ma:root="true" ma:fieldsID="b2cf35cbc957173310d161ba30191efe" ns2:_="">
    <xsd:import namespace="fe87b2eb-92c5-408c-adec-8d447b1989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7b2eb-92c5-408c-adec-8d447b198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B310E-ABB4-4B9F-BC4C-6761F864E44D}">
  <ds:schemaRefs>
    <ds:schemaRef ds:uri="http://schemas.microsoft.com/sharepoint/v3/contenttype/forms"/>
  </ds:schemaRefs>
</ds:datastoreItem>
</file>

<file path=customXml/itemProps2.xml><?xml version="1.0" encoding="utf-8"?>
<ds:datastoreItem xmlns:ds="http://schemas.openxmlformats.org/officeDocument/2006/customXml" ds:itemID="{A18F9863-C24C-4BCC-BAB5-D65BD3967CC8}">
  <ds:schemaRefs>
    <ds:schemaRef ds:uri="http://schemas.microsoft.com/office/2006/metadata/properties"/>
    <ds:schemaRef ds:uri="http://schemas.microsoft.com/office/infopath/2007/PartnerControls"/>
    <ds:schemaRef ds:uri="bee97bf5-f25f-48ca-993c-1d3d36a23c20"/>
  </ds:schemaRefs>
</ds:datastoreItem>
</file>

<file path=customXml/itemProps3.xml><?xml version="1.0" encoding="utf-8"?>
<ds:datastoreItem xmlns:ds="http://schemas.openxmlformats.org/officeDocument/2006/customXml" ds:itemID="{8CCDC92C-BF40-4D88-ABCF-126C2248E61C}">
  <ds:schemaRefs>
    <ds:schemaRef ds:uri="http://schemas.openxmlformats.org/officeDocument/2006/bibliography"/>
  </ds:schemaRefs>
</ds:datastoreItem>
</file>

<file path=customXml/itemProps4.xml><?xml version="1.0" encoding="utf-8"?>
<ds:datastoreItem xmlns:ds="http://schemas.openxmlformats.org/officeDocument/2006/customXml" ds:itemID="{DB1E8E67-89B7-4AFB-A73A-23182120DBC0}"/>
</file>

<file path=docProps/app.xml><?xml version="1.0" encoding="utf-8"?>
<Properties xmlns="http://schemas.openxmlformats.org/officeDocument/2006/extended-properties" xmlns:vt="http://schemas.openxmlformats.org/officeDocument/2006/docPropsVTypes">
  <Template>Normal.dotm</Template>
  <TotalTime>1075</TotalTime>
  <Pages>65</Pages>
  <Words>18018</Words>
  <Characters>99463</Characters>
  <Application>Microsoft Office Word</Application>
  <DocSecurity>0</DocSecurity>
  <Lines>4736</Lines>
  <Paragraphs>2610</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114871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Douglas</dc:creator>
  <cp:keywords/>
  <dc:description/>
  <cp:lastModifiedBy>Thomas Potmeer</cp:lastModifiedBy>
  <cp:revision>45</cp:revision>
  <dcterms:created xsi:type="dcterms:W3CDTF">2024-12-16T22:40:00Z</dcterms:created>
  <dcterms:modified xsi:type="dcterms:W3CDTF">2025-10-14T23:13:00Z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0x01010058D70880320D3C438AEC2F6511A4F920</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